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6F" w:rsidRPr="00314F2F" w:rsidRDefault="00693C6F" w:rsidP="00693C6F">
      <w:pPr>
        <w:widowControl w:val="0"/>
        <w:jc w:val="center"/>
        <w:rPr>
          <w:rFonts w:eastAsia="Times New Roman"/>
          <w:b/>
        </w:rPr>
      </w:pPr>
      <w:bookmarkStart w:id="0" w:name="_GoBack"/>
      <w:bookmarkEnd w:id="0"/>
      <w:r>
        <w:rPr>
          <w:rFonts w:eastAsia="Times New Roman"/>
          <w:b/>
        </w:rPr>
        <w:t>USE AND DISCLOSURE OF PHI FOR FUNDRAISING</w:t>
      </w:r>
    </w:p>
    <w:p w:rsidR="00693C6F" w:rsidRPr="00314F2F" w:rsidRDefault="00693C6F" w:rsidP="00693C6F">
      <w:pPr>
        <w:widowControl w:val="0"/>
        <w:jc w:val="center"/>
        <w:rPr>
          <w:rFonts w:eastAsia="Times New Roman"/>
          <w:b/>
        </w:rPr>
      </w:pPr>
    </w:p>
    <w:p w:rsidR="00693C6F" w:rsidRPr="00314F2F" w:rsidRDefault="00693C6F" w:rsidP="00693C6F">
      <w:pPr>
        <w:widowControl w:val="0"/>
        <w:jc w:val="center"/>
        <w:rPr>
          <w:rFonts w:eastAsia="Times New Roman"/>
          <w:b/>
        </w:rPr>
      </w:pPr>
      <w:r w:rsidRPr="00314F2F">
        <w:rPr>
          <w:rFonts w:eastAsia="Times New Roman"/>
          <w:b/>
        </w:rPr>
        <w:t>Policy Number: [Enter]</w:t>
      </w:r>
    </w:p>
    <w:p w:rsidR="00693C6F" w:rsidRDefault="00693C6F" w:rsidP="00693C6F">
      <w:pPr>
        <w:widowControl w:val="0"/>
        <w:jc w:val="center"/>
        <w:rPr>
          <w:rFonts w:eastAsia="Times New Roman"/>
          <w:b/>
        </w:rPr>
      </w:pPr>
      <w:r w:rsidRPr="00314F2F">
        <w:rPr>
          <w:rFonts w:eastAsia="Times New Roman"/>
          <w:b/>
        </w:rPr>
        <w:t>Effective Date: [Enter]</w:t>
      </w:r>
    </w:p>
    <w:p w:rsidR="00693C6F" w:rsidRPr="00314F2F" w:rsidRDefault="00693C6F" w:rsidP="00693C6F">
      <w:pPr>
        <w:widowControl w:val="0"/>
        <w:jc w:val="center"/>
        <w:rPr>
          <w:rFonts w:eastAsia="Times New Roman"/>
          <w:b/>
        </w:rPr>
      </w:pPr>
    </w:p>
    <w:p w:rsidR="00693C6F" w:rsidRPr="00CC6073" w:rsidRDefault="00693C6F" w:rsidP="00693C6F">
      <w:pPr>
        <w:pStyle w:val="ListParagraph"/>
        <w:numPr>
          <w:ilvl w:val="0"/>
          <w:numId w:val="1"/>
        </w:numPr>
        <w:spacing w:after="240" w:line="240" w:lineRule="auto"/>
        <w:contextualSpacing w:val="0"/>
        <w:jc w:val="both"/>
        <w:rPr>
          <w:rFonts w:ascii="Times New Roman" w:hAnsi="Times New Roman"/>
          <w:b/>
          <w:sz w:val="24"/>
          <w:u w:val="single"/>
        </w:rPr>
      </w:pPr>
      <w:r w:rsidRPr="00CC6073">
        <w:rPr>
          <w:rFonts w:ascii="Times New Roman" w:hAnsi="Times New Roman"/>
          <w:b/>
          <w:sz w:val="24"/>
          <w:u w:val="single"/>
        </w:rPr>
        <w:t>Policy:</w:t>
      </w:r>
    </w:p>
    <w:p w:rsidR="00693C6F" w:rsidRPr="00CC6073" w:rsidRDefault="00693C6F" w:rsidP="00693C6F">
      <w:pPr>
        <w:pStyle w:val="ListParagraph"/>
        <w:numPr>
          <w:ilvl w:val="1"/>
          <w:numId w:val="1"/>
        </w:numPr>
        <w:spacing w:after="240" w:line="240" w:lineRule="auto"/>
        <w:contextualSpacing w:val="0"/>
        <w:jc w:val="both"/>
        <w:rPr>
          <w:rFonts w:ascii="Times New Roman" w:hAnsi="Times New Roman"/>
          <w:b/>
          <w:sz w:val="24"/>
          <w:u w:val="single"/>
        </w:rPr>
      </w:pPr>
      <w:r w:rsidRPr="00CC6073">
        <w:rPr>
          <w:rFonts w:ascii="Times New Roman" w:hAnsi="Times New Roman"/>
          <w:b/>
          <w:sz w:val="24"/>
        </w:rPr>
        <w:t>Purpose</w:t>
      </w:r>
    </w:p>
    <w:p w:rsidR="00693C6F" w:rsidRDefault="00693C6F" w:rsidP="00693C6F">
      <w:pPr>
        <w:pStyle w:val="NoSpacing"/>
        <w:spacing w:after="240"/>
        <w:ind w:left="720"/>
        <w:jc w:val="both"/>
        <w:rPr>
          <w:rFonts w:ascii="Times New Roman" w:hAnsi="Times New Roman" w:cs="Times New Roman"/>
          <w:sz w:val="24"/>
          <w:szCs w:val="24"/>
        </w:rPr>
      </w:pPr>
      <w:r w:rsidRPr="00CC6073">
        <w:rPr>
          <w:rFonts w:ascii="Times New Roman" w:hAnsi="Times New Roman" w:cs="Times New Roman"/>
          <w:sz w:val="24"/>
          <w:szCs w:val="24"/>
        </w:rPr>
        <w:t xml:space="preserve">This policy establishes guidelines for </w:t>
      </w:r>
      <w:r w:rsidR="005C1BFC">
        <w:rPr>
          <w:rFonts w:ascii="Times New Roman" w:hAnsi="Times New Roman" w:cs="Times New Roman"/>
          <w:i/>
          <w:sz w:val="24"/>
          <w:szCs w:val="24"/>
        </w:rPr>
        <w:t>[Organization</w:t>
      </w:r>
      <w:r w:rsidRPr="00CC6073">
        <w:rPr>
          <w:rFonts w:ascii="Times New Roman" w:hAnsi="Times New Roman" w:cs="Times New Roman"/>
          <w:i/>
          <w:sz w:val="24"/>
          <w:szCs w:val="24"/>
        </w:rPr>
        <w:t>]</w:t>
      </w:r>
      <w:r w:rsidR="005C1BFC">
        <w:rPr>
          <w:rFonts w:ascii="Times New Roman" w:hAnsi="Times New Roman" w:cs="Times New Roman"/>
          <w:sz w:val="24"/>
          <w:szCs w:val="24"/>
        </w:rPr>
        <w:t>’s</w:t>
      </w:r>
      <w:r w:rsidRPr="00CC6073">
        <w:rPr>
          <w:rFonts w:ascii="Times New Roman" w:hAnsi="Times New Roman" w:cs="Times New Roman"/>
          <w:i/>
          <w:sz w:val="24"/>
          <w:szCs w:val="24"/>
        </w:rPr>
        <w:t xml:space="preserve"> </w:t>
      </w:r>
      <w:r w:rsidRPr="00CC6073">
        <w:rPr>
          <w:rFonts w:ascii="Times New Roman" w:hAnsi="Times New Roman" w:cs="Times New Roman"/>
          <w:sz w:val="24"/>
          <w:szCs w:val="24"/>
        </w:rPr>
        <w:t xml:space="preserve">workforce to follow regarding the use </w:t>
      </w:r>
      <w:r>
        <w:rPr>
          <w:rFonts w:ascii="Times New Roman" w:hAnsi="Times New Roman" w:cs="Times New Roman"/>
          <w:sz w:val="24"/>
          <w:szCs w:val="24"/>
        </w:rPr>
        <w:t>or</w:t>
      </w:r>
      <w:r w:rsidRPr="00CC6073">
        <w:rPr>
          <w:rFonts w:ascii="Times New Roman" w:hAnsi="Times New Roman" w:cs="Times New Roman"/>
          <w:sz w:val="24"/>
          <w:szCs w:val="24"/>
        </w:rPr>
        <w:t xml:space="preserve"> disclosure of PHI for fundraising purposes.</w:t>
      </w:r>
    </w:p>
    <w:p w:rsidR="00693C6F" w:rsidRDefault="00693C6F" w:rsidP="00693C6F">
      <w:pPr>
        <w:pStyle w:val="ListParagraph"/>
        <w:numPr>
          <w:ilvl w:val="1"/>
          <w:numId w:val="1"/>
        </w:numPr>
        <w:spacing w:after="240" w:line="240" w:lineRule="auto"/>
        <w:contextualSpacing w:val="0"/>
        <w:jc w:val="both"/>
        <w:rPr>
          <w:rFonts w:ascii="Times New Roman" w:hAnsi="Times New Roman"/>
          <w:b/>
          <w:sz w:val="24"/>
        </w:rPr>
      </w:pPr>
      <w:r w:rsidRPr="00CC6073">
        <w:rPr>
          <w:rFonts w:ascii="Times New Roman" w:hAnsi="Times New Roman"/>
          <w:b/>
          <w:sz w:val="24"/>
        </w:rPr>
        <w:t>Policy Implementation</w:t>
      </w:r>
    </w:p>
    <w:p w:rsidR="00942CC4" w:rsidRPr="001E5E12" w:rsidRDefault="00942CC4" w:rsidP="005E2947">
      <w:pPr>
        <w:spacing w:after="240"/>
        <w:ind w:left="720"/>
        <w:jc w:val="both"/>
      </w:pPr>
      <w:r w:rsidRPr="001E5E12">
        <w:rPr>
          <w:i/>
        </w:rPr>
        <w:t>[Organization]</w:t>
      </w:r>
      <w:r w:rsidRPr="001E5E12">
        <w:t xml:space="preserve"> may use and disclose PHI for </w:t>
      </w:r>
      <w:r w:rsidR="001E5E12">
        <w:t>fundraising</w:t>
      </w:r>
      <w:r w:rsidRPr="001E5E12">
        <w:t xml:space="preserve"> purposes only in accordance with the HIPAA Regulations, applicable state law, and this Policy.</w:t>
      </w:r>
    </w:p>
    <w:p w:rsidR="0029178A" w:rsidRDefault="0029178A" w:rsidP="0029178A">
      <w:pPr>
        <w:pStyle w:val="ListParagraph"/>
        <w:numPr>
          <w:ilvl w:val="2"/>
          <w:numId w:val="1"/>
        </w:numPr>
        <w:spacing w:after="240" w:line="240" w:lineRule="auto"/>
        <w:contextualSpacing w:val="0"/>
        <w:jc w:val="both"/>
        <w:rPr>
          <w:rFonts w:ascii="Times New Roman" w:hAnsi="Times New Roman"/>
          <w:b/>
          <w:sz w:val="24"/>
        </w:rPr>
      </w:pPr>
      <w:r>
        <w:rPr>
          <w:rFonts w:ascii="Times New Roman" w:hAnsi="Times New Roman"/>
          <w:b/>
          <w:sz w:val="24"/>
        </w:rPr>
        <w:t>Fundraising without an authorization</w:t>
      </w:r>
    </w:p>
    <w:p w:rsidR="0029178A" w:rsidRPr="00231CB7" w:rsidRDefault="009F309E" w:rsidP="0029178A">
      <w:pPr>
        <w:spacing w:after="240"/>
        <w:ind w:left="720"/>
        <w:jc w:val="both"/>
      </w:pPr>
      <w:r>
        <w:rPr>
          <w:i/>
        </w:rPr>
        <w:t>[Organization]</w:t>
      </w:r>
      <w:r>
        <w:t xml:space="preserve"> may use and </w:t>
      </w:r>
      <w:r w:rsidR="00404557" w:rsidRPr="00404557">
        <w:t xml:space="preserve">disclose </w:t>
      </w:r>
      <w:r>
        <w:t xml:space="preserve">certain </w:t>
      </w:r>
      <w:r w:rsidR="00D454F6">
        <w:t xml:space="preserve">PHI for fundraising without a HIPAA </w:t>
      </w:r>
      <w:r>
        <w:t>authorization</w:t>
      </w:r>
      <w:r w:rsidR="001A4810">
        <w:t>,</w:t>
      </w:r>
      <w:r w:rsidR="00A2422C">
        <w:t xml:space="preserve"> </w:t>
      </w:r>
      <w:r w:rsidR="0029178A" w:rsidRPr="00231CB7">
        <w:t>if</w:t>
      </w:r>
      <w:r w:rsidR="008F36B1">
        <w:t xml:space="preserve"> </w:t>
      </w:r>
      <w:r w:rsidR="00F171CF">
        <w:rPr>
          <w:i/>
        </w:rPr>
        <w:t>[Organization]</w:t>
      </w:r>
      <w:r w:rsidR="008F36B1">
        <w:t xml:space="preserve"> complies with the requirements stated in Section 2 below, and</w:t>
      </w:r>
      <w:r w:rsidR="00387125">
        <w:t xml:space="preserve"> the following circumstances are met</w:t>
      </w:r>
      <w:r w:rsidR="0029178A">
        <w:t>:</w:t>
      </w:r>
    </w:p>
    <w:p w:rsidR="0029178A" w:rsidRPr="00EC7AFF" w:rsidRDefault="0029178A" w:rsidP="00EC7AFF">
      <w:pPr>
        <w:pStyle w:val="ListParagraph"/>
        <w:numPr>
          <w:ilvl w:val="3"/>
          <w:numId w:val="1"/>
        </w:numPr>
        <w:spacing w:after="240" w:line="240" w:lineRule="auto"/>
        <w:contextualSpacing w:val="0"/>
        <w:jc w:val="both"/>
        <w:rPr>
          <w:rFonts w:ascii="Times New Roman" w:hAnsi="Times New Roman"/>
          <w:sz w:val="24"/>
        </w:rPr>
      </w:pPr>
      <w:r w:rsidRPr="00EC7AFF">
        <w:rPr>
          <w:rFonts w:ascii="Times New Roman" w:hAnsi="Times New Roman"/>
          <w:sz w:val="24"/>
        </w:rPr>
        <w:t xml:space="preserve">The fundraising is for the benefit of </w:t>
      </w:r>
      <w:r w:rsidRPr="00EC7AFF">
        <w:rPr>
          <w:rFonts w:ascii="Times New Roman" w:hAnsi="Times New Roman"/>
          <w:i/>
          <w:sz w:val="24"/>
        </w:rPr>
        <w:t>[Organization]</w:t>
      </w:r>
      <w:r w:rsidRPr="00EC7AFF">
        <w:rPr>
          <w:rFonts w:ascii="Times New Roman" w:hAnsi="Times New Roman"/>
          <w:sz w:val="24"/>
        </w:rPr>
        <w:t>;</w:t>
      </w:r>
    </w:p>
    <w:p w:rsidR="0029178A" w:rsidRPr="00EC7AFF" w:rsidRDefault="0095050B" w:rsidP="00EC7AFF">
      <w:pPr>
        <w:pStyle w:val="ListParagraph"/>
        <w:numPr>
          <w:ilvl w:val="3"/>
          <w:numId w:val="1"/>
        </w:numPr>
        <w:spacing w:after="240" w:line="240" w:lineRule="auto"/>
        <w:contextualSpacing w:val="0"/>
        <w:jc w:val="both"/>
        <w:rPr>
          <w:rFonts w:ascii="Times New Roman" w:hAnsi="Times New Roman"/>
          <w:sz w:val="24"/>
        </w:rPr>
      </w:pPr>
      <w:r w:rsidRPr="00EC7AFF">
        <w:rPr>
          <w:rFonts w:ascii="Times New Roman" w:hAnsi="Times New Roman"/>
          <w:sz w:val="24"/>
        </w:rPr>
        <w:t>Any disclosures to a business associate or an institutionally related foundation are addressed in a business associate agreement or otherwise permitted under HIPAA</w:t>
      </w:r>
      <w:r w:rsidR="00FA14C5" w:rsidRPr="00EC7AFF">
        <w:rPr>
          <w:rFonts w:ascii="Times New Roman" w:hAnsi="Times New Roman"/>
          <w:sz w:val="24"/>
        </w:rPr>
        <w:t>;</w:t>
      </w:r>
    </w:p>
    <w:p w:rsidR="0029178A" w:rsidRPr="00EC7AFF" w:rsidRDefault="0029178A" w:rsidP="00EC7AFF">
      <w:pPr>
        <w:pStyle w:val="ListParagraph"/>
        <w:numPr>
          <w:ilvl w:val="3"/>
          <w:numId w:val="1"/>
        </w:numPr>
        <w:spacing w:after="240" w:line="240" w:lineRule="auto"/>
        <w:contextualSpacing w:val="0"/>
        <w:jc w:val="both"/>
        <w:rPr>
          <w:rFonts w:ascii="Times New Roman" w:hAnsi="Times New Roman"/>
          <w:sz w:val="24"/>
        </w:rPr>
      </w:pPr>
      <w:r w:rsidRPr="00EC7AFF">
        <w:rPr>
          <w:rFonts w:ascii="Times New Roman" w:hAnsi="Times New Roman"/>
          <w:i/>
          <w:sz w:val="24"/>
        </w:rPr>
        <w:t>[Organization]</w:t>
      </w:r>
      <w:r w:rsidRPr="00EC7AFF">
        <w:rPr>
          <w:rFonts w:ascii="Times New Roman" w:hAnsi="Times New Roman"/>
          <w:sz w:val="24"/>
        </w:rPr>
        <w:t xml:space="preserve"> has included a statement in the Notice of Privacy Practice</w:t>
      </w:r>
      <w:r w:rsidR="00973D49" w:rsidRPr="00EC7AFF">
        <w:rPr>
          <w:rFonts w:ascii="Times New Roman" w:hAnsi="Times New Roman"/>
          <w:sz w:val="24"/>
        </w:rPr>
        <w:t>s</w:t>
      </w:r>
      <w:r w:rsidRPr="00EC7AFF">
        <w:rPr>
          <w:rFonts w:ascii="Times New Roman" w:hAnsi="Times New Roman"/>
          <w:sz w:val="24"/>
        </w:rPr>
        <w:t xml:space="preserve"> that </w:t>
      </w:r>
      <w:r w:rsidRPr="00EC7AFF">
        <w:rPr>
          <w:rFonts w:ascii="Times New Roman" w:hAnsi="Times New Roman"/>
          <w:i/>
          <w:sz w:val="24"/>
        </w:rPr>
        <w:t>[Organization]</w:t>
      </w:r>
      <w:r w:rsidRPr="00EC7AFF">
        <w:rPr>
          <w:rFonts w:ascii="Times New Roman" w:hAnsi="Times New Roman"/>
          <w:sz w:val="24"/>
        </w:rPr>
        <w:t xml:space="preserve"> may contact the individual to raise funds for </w:t>
      </w:r>
      <w:r w:rsidRPr="00EC7AFF">
        <w:rPr>
          <w:rFonts w:ascii="Times New Roman" w:hAnsi="Times New Roman"/>
          <w:i/>
          <w:sz w:val="24"/>
        </w:rPr>
        <w:t>[Organization]</w:t>
      </w:r>
      <w:r w:rsidRPr="00EC7AFF">
        <w:rPr>
          <w:rFonts w:ascii="Times New Roman" w:hAnsi="Times New Roman"/>
          <w:sz w:val="24"/>
        </w:rPr>
        <w:t xml:space="preserve"> and the individual has a right to opt out of receiving such communications;</w:t>
      </w:r>
    </w:p>
    <w:p w:rsidR="0029178A" w:rsidRPr="00EC7AFF" w:rsidRDefault="00EC7AFF" w:rsidP="00EC7AFF">
      <w:pPr>
        <w:pStyle w:val="ListParagraph"/>
        <w:numPr>
          <w:ilvl w:val="3"/>
          <w:numId w:val="1"/>
        </w:numPr>
        <w:spacing w:after="240" w:line="240" w:lineRule="auto"/>
        <w:contextualSpacing w:val="0"/>
        <w:jc w:val="both"/>
        <w:rPr>
          <w:rFonts w:ascii="Times New Roman" w:hAnsi="Times New Roman"/>
          <w:sz w:val="24"/>
        </w:rPr>
      </w:pPr>
      <w:r w:rsidRPr="00EC7AFF">
        <w:rPr>
          <w:rFonts w:ascii="Times New Roman" w:hAnsi="Times New Roman"/>
          <w:sz w:val="24"/>
        </w:rPr>
        <w:t>T</w:t>
      </w:r>
      <w:r w:rsidR="0029178A" w:rsidRPr="00EC7AFF">
        <w:rPr>
          <w:rFonts w:ascii="Times New Roman" w:hAnsi="Times New Roman"/>
          <w:sz w:val="24"/>
        </w:rPr>
        <w:t>he use</w:t>
      </w:r>
      <w:r w:rsidR="00F908AE" w:rsidRPr="00EC7AFF">
        <w:rPr>
          <w:rFonts w:ascii="Times New Roman" w:hAnsi="Times New Roman"/>
          <w:sz w:val="24"/>
        </w:rPr>
        <w:t xml:space="preserve">s and disclosures of PHI are </w:t>
      </w:r>
      <w:r w:rsidR="0029178A" w:rsidRPr="00EC7AFF">
        <w:rPr>
          <w:rFonts w:ascii="Times New Roman" w:hAnsi="Times New Roman"/>
          <w:sz w:val="24"/>
        </w:rPr>
        <w:t>limited to</w:t>
      </w:r>
      <w:r w:rsidR="00F908AE" w:rsidRPr="00EC7AFF">
        <w:rPr>
          <w:rFonts w:ascii="Times New Roman" w:hAnsi="Times New Roman"/>
          <w:sz w:val="24"/>
        </w:rPr>
        <w:t xml:space="preserve"> the following subset of PHI (the “Permitted Fundraising Information”)</w:t>
      </w:r>
      <w:r w:rsidR="0029178A" w:rsidRPr="00EC7AFF">
        <w:rPr>
          <w:rFonts w:ascii="Times New Roman" w:hAnsi="Times New Roman"/>
          <w:sz w:val="24"/>
        </w:rPr>
        <w:t>:</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 xml:space="preserve">Demographic information related to the individual, including name, address, other contact information, age, gender, and date of birth; </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Dates of health care provided to an individual;</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Department of service information</w:t>
      </w:r>
      <w:r w:rsidR="00387125" w:rsidRPr="00EC7AFF">
        <w:rPr>
          <w:rFonts w:ascii="Times New Roman" w:hAnsi="Times New Roman"/>
          <w:sz w:val="24"/>
        </w:rPr>
        <w:t xml:space="preserve"> (for example, information about the general department of treatment such as cardiology, oncology, pediatrics, etc.)</w:t>
      </w:r>
      <w:r w:rsidRPr="00EC7AFF">
        <w:rPr>
          <w:rFonts w:ascii="Times New Roman" w:hAnsi="Times New Roman"/>
          <w:sz w:val="24"/>
        </w:rPr>
        <w:t>;</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Treating physician;</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Outcome information</w:t>
      </w:r>
      <w:r w:rsidR="00FA14C5" w:rsidRPr="00EC7AFF">
        <w:rPr>
          <w:rFonts w:ascii="Times New Roman" w:hAnsi="Times New Roman"/>
          <w:sz w:val="24"/>
        </w:rPr>
        <w:t xml:space="preserve">, such as information regarding the death of the patient or any sub-optimal result of treatment or services.  The idea is for covered </w:t>
      </w:r>
      <w:r w:rsidR="00FA14C5" w:rsidRPr="00EC7AFF">
        <w:rPr>
          <w:rFonts w:ascii="Times New Roman" w:hAnsi="Times New Roman"/>
          <w:sz w:val="24"/>
        </w:rPr>
        <w:lastRenderedPageBreak/>
        <w:t>entities to use this information in connection with fundraising purposes to screen and eliminate from fundraising solicitations those individuals experiencing a sub-optimum outcome</w:t>
      </w:r>
      <w:r w:rsidRPr="00EC7AFF">
        <w:rPr>
          <w:rFonts w:ascii="Times New Roman" w:hAnsi="Times New Roman"/>
          <w:sz w:val="24"/>
        </w:rPr>
        <w:t xml:space="preserve">; and </w:t>
      </w:r>
    </w:p>
    <w:p w:rsidR="0029178A" w:rsidRPr="00EC7AFF" w:rsidRDefault="0029178A" w:rsidP="00EC7AFF">
      <w:pPr>
        <w:pStyle w:val="ListParagraph"/>
        <w:numPr>
          <w:ilvl w:val="4"/>
          <w:numId w:val="1"/>
        </w:numPr>
        <w:spacing w:after="240" w:line="240" w:lineRule="auto"/>
        <w:contextualSpacing w:val="0"/>
        <w:jc w:val="both"/>
        <w:rPr>
          <w:rFonts w:ascii="Times New Roman" w:hAnsi="Times New Roman"/>
          <w:sz w:val="24"/>
        </w:rPr>
      </w:pPr>
      <w:r w:rsidRPr="00EC7AFF">
        <w:rPr>
          <w:rFonts w:ascii="Times New Roman" w:hAnsi="Times New Roman"/>
          <w:sz w:val="24"/>
        </w:rPr>
        <w:t>Health insurance status.</w:t>
      </w:r>
    </w:p>
    <w:p w:rsidR="008F36B1" w:rsidRPr="00760747" w:rsidRDefault="008F36B1" w:rsidP="008F36B1">
      <w:pPr>
        <w:spacing w:after="240"/>
        <w:ind w:left="720"/>
        <w:jc w:val="both"/>
        <w:rPr>
          <w:b/>
          <w:shd w:val="clear" w:color="auto" w:fill="D9D9D9" w:themeFill="background1" w:themeFillShade="D9"/>
        </w:rPr>
      </w:pPr>
      <w:r w:rsidRPr="00760747">
        <w:rPr>
          <w:b/>
          <w:shd w:val="clear" w:color="auto" w:fill="D9D9D9" w:themeFill="background1" w:themeFillShade="D9"/>
        </w:rPr>
        <w:t>The Minnesota Health Records Act requires providers to obtain written consent prior to disclosing health records</w:t>
      </w:r>
      <w:r w:rsidR="007541C1" w:rsidRPr="00760747">
        <w:rPr>
          <w:b/>
          <w:shd w:val="clear" w:color="auto" w:fill="D9D9D9" w:themeFill="background1" w:themeFillShade="D9"/>
        </w:rPr>
        <w:t xml:space="preserve"> unless an exception otherwise applies</w:t>
      </w:r>
      <w:r w:rsidRPr="00760747">
        <w:rPr>
          <w:b/>
          <w:shd w:val="clear" w:color="auto" w:fill="D9D9D9" w:themeFill="background1" w:themeFillShade="D9"/>
        </w:rPr>
        <w:t xml:space="preserve">.  </w:t>
      </w:r>
      <w:r w:rsidR="007541C1" w:rsidRPr="00760747">
        <w:rPr>
          <w:b/>
          <w:shd w:val="clear" w:color="auto" w:fill="D9D9D9" w:themeFill="background1" w:themeFillShade="D9"/>
        </w:rPr>
        <w:t xml:space="preserve">Use and disclosure of PHI by a covered entity </w:t>
      </w:r>
      <w:r w:rsidR="001C1C46" w:rsidRPr="00760747">
        <w:rPr>
          <w:b/>
          <w:shd w:val="clear" w:color="auto" w:fill="D9D9D9" w:themeFill="background1" w:themeFillShade="D9"/>
        </w:rPr>
        <w:t xml:space="preserve">to fundraise </w:t>
      </w:r>
      <w:r w:rsidR="007541C1" w:rsidRPr="00760747">
        <w:rPr>
          <w:b/>
          <w:shd w:val="clear" w:color="auto" w:fill="D9D9D9" w:themeFill="background1" w:themeFillShade="D9"/>
        </w:rPr>
        <w:t>for the covered entity’s own benefit is considered a “health care operation”</w:t>
      </w:r>
      <w:r w:rsidR="001B2CD5" w:rsidRPr="00760747">
        <w:rPr>
          <w:b/>
          <w:shd w:val="clear" w:color="auto" w:fill="D9D9D9" w:themeFill="background1" w:themeFillShade="D9"/>
        </w:rPr>
        <w:t xml:space="preserve"> of that entity</w:t>
      </w:r>
      <w:r w:rsidR="007541C1" w:rsidRPr="00760747">
        <w:rPr>
          <w:b/>
          <w:shd w:val="clear" w:color="auto" w:fill="D9D9D9" w:themeFill="background1" w:themeFillShade="D9"/>
        </w:rPr>
        <w:t xml:space="preserve">.  The </w:t>
      </w:r>
      <w:r w:rsidR="00166F8C" w:rsidRPr="00760747">
        <w:rPr>
          <w:b/>
          <w:shd w:val="clear" w:color="auto" w:fill="D9D9D9" w:themeFill="background1" w:themeFillShade="D9"/>
        </w:rPr>
        <w:t xml:space="preserve">patient’s consent to the use </w:t>
      </w:r>
      <w:r w:rsidR="00FB494D" w:rsidRPr="00760747">
        <w:rPr>
          <w:b/>
          <w:shd w:val="clear" w:color="auto" w:fill="D9D9D9" w:themeFill="background1" w:themeFillShade="D9"/>
        </w:rPr>
        <w:t xml:space="preserve">and disclosures </w:t>
      </w:r>
      <w:r w:rsidR="00166F8C" w:rsidRPr="00760747">
        <w:rPr>
          <w:b/>
          <w:shd w:val="clear" w:color="auto" w:fill="D9D9D9" w:themeFill="background1" w:themeFillShade="D9"/>
        </w:rPr>
        <w:t xml:space="preserve">of his or her health records for “health care operations” </w:t>
      </w:r>
      <w:r w:rsidR="00530DBD" w:rsidRPr="00760747">
        <w:rPr>
          <w:b/>
          <w:shd w:val="clear" w:color="auto" w:fill="D9D9D9" w:themeFill="background1" w:themeFillShade="D9"/>
        </w:rPr>
        <w:t xml:space="preserve">of </w:t>
      </w:r>
      <w:r w:rsidR="00530DBD" w:rsidRPr="00760747">
        <w:rPr>
          <w:b/>
          <w:i/>
          <w:shd w:val="clear" w:color="auto" w:fill="D9D9D9" w:themeFill="background1" w:themeFillShade="D9"/>
        </w:rPr>
        <w:t>[Organization]</w:t>
      </w:r>
      <w:r w:rsidR="00530DBD" w:rsidRPr="00760747">
        <w:rPr>
          <w:b/>
          <w:shd w:val="clear" w:color="auto" w:fill="D9D9D9" w:themeFill="background1" w:themeFillShade="D9"/>
        </w:rPr>
        <w:t xml:space="preserve"> </w:t>
      </w:r>
      <w:r w:rsidR="00166F8C" w:rsidRPr="00760747">
        <w:rPr>
          <w:b/>
          <w:shd w:val="clear" w:color="auto" w:fill="D9D9D9" w:themeFill="background1" w:themeFillShade="D9"/>
        </w:rPr>
        <w:t xml:space="preserve">authorizes </w:t>
      </w:r>
      <w:r w:rsidR="00166F8C" w:rsidRPr="00760747">
        <w:rPr>
          <w:b/>
          <w:i/>
          <w:shd w:val="clear" w:color="auto" w:fill="D9D9D9" w:themeFill="background1" w:themeFillShade="D9"/>
        </w:rPr>
        <w:t>[Organization]</w:t>
      </w:r>
      <w:r w:rsidR="00166F8C" w:rsidRPr="00760747">
        <w:rPr>
          <w:b/>
          <w:shd w:val="clear" w:color="auto" w:fill="D9D9D9" w:themeFill="background1" w:themeFillShade="D9"/>
        </w:rPr>
        <w:t xml:space="preserve"> to</w:t>
      </w:r>
      <w:r w:rsidRPr="00760747">
        <w:rPr>
          <w:b/>
          <w:shd w:val="clear" w:color="auto" w:fill="D9D9D9" w:themeFill="background1" w:themeFillShade="D9"/>
        </w:rPr>
        <w:t xml:space="preserve"> </w:t>
      </w:r>
      <w:r w:rsidR="00166F8C" w:rsidRPr="00760747">
        <w:rPr>
          <w:b/>
          <w:shd w:val="clear" w:color="auto" w:fill="D9D9D9" w:themeFill="background1" w:themeFillShade="D9"/>
        </w:rPr>
        <w:t>use</w:t>
      </w:r>
      <w:r w:rsidR="003E7C23" w:rsidRPr="00760747">
        <w:rPr>
          <w:b/>
          <w:shd w:val="clear" w:color="auto" w:fill="D9D9D9" w:themeFill="background1" w:themeFillShade="D9"/>
        </w:rPr>
        <w:t>/disclose</w:t>
      </w:r>
      <w:r w:rsidR="00166F8C" w:rsidRPr="00760747">
        <w:rPr>
          <w:b/>
          <w:shd w:val="clear" w:color="auto" w:fill="D9D9D9" w:themeFill="background1" w:themeFillShade="D9"/>
        </w:rPr>
        <w:t xml:space="preserve"> </w:t>
      </w:r>
      <w:r w:rsidR="00FB5871" w:rsidRPr="00760747">
        <w:rPr>
          <w:b/>
          <w:shd w:val="clear" w:color="auto" w:fill="D9D9D9" w:themeFill="background1" w:themeFillShade="D9"/>
        </w:rPr>
        <w:t xml:space="preserve">the </w:t>
      </w:r>
      <w:r w:rsidR="00F908AE" w:rsidRPr="00760747">
        <w:rPr>
          <w:b/>
          <w:shd w:val="clear" w:color="auto" w:fill="D9D9D9" w:themeFill="background1" w:themeFillShade="D9"/>
        </w:rPr>
        <w:t xml:space="preserve">Permitted Fundraising Information </w:t>
      </w:r>
      <w:r w:rsidR="00FB5871" w:rsidRPr="00760747">
        <w:rPr>
          <w:b/>
          <w:shd w:val="clear" w:color="auto" w:fill="D9D9D9" w:themeFill="background1" w:themeFillShade="D9"/>
        </w:rPr>
        <w:t xml:space="preserve">described in B.1 </w:t>
      </w:r>
      <w:r w:rsidR="00166F8C" w:rsidRPr="00760747">
        <w:rPr>
          <w:b/>
          <w:shd w:val="clear" w:color="auto" w:fill="D9D9D9" w:themeFill="background1" w:themeFillShade="D9"/>
        </w:rPr>
        <w:t xml:space="preserve">to </w:t>
      </w:r>
      <w:r w:rsidRPr="00760747">
        <w:rPr>
          <w:b/>
          <w:shd w:val="clear" w:color="auto" w:fill="D9D9D9" w:themeFill="background1" w:themeFillShade="D9"/>
        </w:rPr>
        <w:t>fundrais</w:t>
      </w:r>
      <w:r w:rsidR="00166F8C" w:rsidRPr="00760747">
        <w:rPr>
          <w:b/>
          <w:shd w:val="clear" w:color="auto" w:fill="D9D9D9" w:themeFill="background1" w:themeFillShade="D9"/>
        </w:rPr>
        <w:t xml:space="preserve">e on its own behalf </w:t>
      </w:r>
      <w:r w:rsidRPr="00760747">
        <w:rPr>
          <w:b/>
          <w:shd w:val="clear" w:color="auto" w:fill="D9D9D9" w:themeFill="background1" w:themeFillShade="D9"/>
        </w:rPr>
        <w:t xml:space="preserve">or contract with a business associate </w:t>
      </w:r>
      <w:r w:rsidR="009A6518" w:rsidRPr="00760747">
        <w:rPr>
          <w:b/>
          <w:shd w:val="clear" w:color="auto" w:fill="D9D9D9" w:themeFill="background1" w:themeFillShade="D9"/>
        </w:rPr>
        <w:t xml:space="preserve">or institutionally related foundation </w:t>
      </w:r>
      <w:r w:rsidRPr="00760747">
        <w:rPr>
          <w:b/>
          <w:shd w:val="clear" w:color="auto" w:fill="D9D9D9" w:themeFill="background1" w:themeFillShade="D9"/>
        </w:rPr>
        <w:t>for that purpose</w:t>
      </w:r>
      <w:r w:rsidR="00166F8C" w:rsidRPr="00760747">
        <w:rPr>
          <w:b/>
          <w:shd w:val="clear" w:color="auto" w:fill="D9D9D9" w:themeFill="background1" w:themeFillShade="D9"/>
        </w:rPr>
        <w:t>.</w:t>
      </w:r>
    </w:p>
    <w:p w:rsidR="00693C6F" w:rsidRPr="00CC6073" w:rsidRDefault="00693C6F" w:rsidP="00693C6F">
      <w:pPr>
        <w:pStyle w:val="ListParagraph"/>
        <w:numPr>
          <w:ilvl w:val="2"/>
          <w:numId w:val="1"/>
        </w:numPr>
        <w:spacing w:after="240" w:line="240" w:lineRule="auto"/>
        <w:contextualSpacing w:val="0"/>
        <w:jc w:val="both"/>
        <w:rPr>
          <w:rFonts w:ascii="Times New Roman" w:hAnsi="Times New Roman"/>
          <w:b/>
          <w:sz w:val="24"/>
        </w:rPr>
      </w:pPr>
      <w:bookmarkStart w:id="1" w:name="_Ref470161979"/>
      <w:r>
        <w:rPr>
          <w:rFonts w:ascii="Times New Roman" w:hAnsi="Times New Roman"/>
          <w:b/>
          <w:sz w:val="24"/>
        </w:rPr>
        <w:t>Other r</w:t>
      </w:r>
      <w:r w:rsidRPr="00CC6073">
        <w:rPr>
          <w:rFonts w:ascii="Times New Roman" w:hAnsi="Times New Roman"/>
          <w:b/>
          <w:sz w:val="24"/>
        </w:rPr>
        <w:t>equirements</w:t>
      </w:r>
      <w:bookmarkEnd w:id="1"/>
    </w:p>
    <w:p w:rsidR="00693C6F" w:rsidRPr="00CC6073" w:rsidRDefault="00F171CF" w:rsidP="00693C6F">
      <w:pPr>
        <w:spacing w:after="240"/>
        <w:ind w:left="1080"/>
        <w:jc w:val="both"/>
      </w:pPr>
      <w:r>
        <w:t xml:space="preserve">If </w:t>
      </w:r>
      <w:r w:rsidR="00977254">
        <w:t xml:space="preserve">pursuant to Section 1, </w:t>
      </w:r>
      <w:r w:rsidR="00693C6F" w:rsidRPr="00CC6073">
        <w:rPr>
          <w:i/>
        </w:rPr>
        <w:t>[Organization]</w:t>
      </w:r>
      <w:r w:rsidR="00693C6F" w:rsidRPr="00CC6073">
        <w:t xml:space="preserve"> </w:t>
      </w:r>
      <w:r w:rsidRPr="00CC6073">
        <w:t>use</w:t>
      </w:r>
      <w:r w:rsidR="000167ED">
        <w:t>s or disclos</w:t>
      </w:r>
      <w:r>
        <w:t xml:space="preserve">es </w:t>
      </w:r>
      <w:r w:rsidR="000167ED">
        <w:t xml:space="preserve">Permitted Fundraising Information </w:t>
      </w:r>
      <w:r>
        <w:t>for fundraising</w:t>
      </w:r>
      <w:r w:rsidRPr="00CC6073">
        <w:t xml:space="preserve"> purpose</w:t>
      </w:r>
      <w:r>
        <w:t>s</w:t>
      </w:r>
      <w:r w:rsidRPr="00CC6073">
        <w:t xml:space="preserve"> </w:t>
      </w:r>
      <w:r>
        <w:t xml:space="preserve">without the patient’s </w:t>
      </w:r>
      <w:proofErr w:type="gramStart"/>
      <w:r>
        <w:t>authorization,</w:t>
      </w:r>
      <w:proofErr w:type="gramEnd"/>
      <w:r>
        <w:t xml:space="preserve"> </w:t>
      </w:r>
      <w:r>
        <w:rPr>
          <w:i/>
        </w:rPr>
        <w:t>[Organization]</w:t>
      </w:r>
      <w:r w:rsidRPr="00CC6073">
        <w:t xml:space="preserve"> </w:t>
      </w:r>
      <w:r w:rsidR="00693C6F" w:rsidRPr="00CC6073">
        <w:t>shall satisfy the following requirements</w:t>
      </w:r>
      <w:r>
        <w:t xml:space="preserve">: </w:t>
      </w:r>
    </w:p>
    <w:p w:rsidR="00693C6F" w:rsidRPr="00CC6073" w:rsidRDefault="00693C6F" w:rsidP="00693C6F">
      <w:pPr>
        <w:pStyle w:val="ListParagraph"/>
        <w:numPr>
          <w:ilvl w:val="3"/>
          <w:numId w:val="1"/>
        </w:numPr>
        <w:spacing w:after="240" w:line="240" w:lineRule="auto"/>
        <w:contextualSpacing w:val="0"/>
        <w:jc w:val="both"/>
        <w:rPr>
          <w:rFonts w:ascii="Times New Roman" w:hAnsi="Times New Roman"/>
          <w:sz w:val="24"/>
        </w:rPr>
      </w:pPr>
      <w:r w:rsidRPr="00CC6073">
        <w:rPr>
          <w:rFonts w:ascii="Times New Roman" w:hAnsi="Times New Roman"/>
          <w:sz w:val="24"/>
        </w:rPr>
        <w:t xml:space="preserve">With each fundraising communication made to an individual, </w:t>
      </w:r>
      <w:r w:rsidRPr="00CC6073">
        <w:rPr>
          <w:rFonts w:ascii="Times New Roman" w:hAnsi="Times New Roman"/>
          <w:i/>
          <w:sz w:val="24"/>
        </w:rPr>
        <w:t>[Organization]</w:t>
      </w:r>
      <w:r w:rsidRPr="00CC6073">
        <w:rPr>
          <w:rFonts w:ascii="Times New Roman" w:hAnsi="Times New Roman"/>
          <w:sz w:val="24"/>
        </w:rPr>
        <w:t xml:space="preserve"> must provide the individual with a clear and conspicuous opportunity to elect not to receive any further fundraising communications. The method for an individual to elect not to receive further fundraising communications may not cause the individual to incur an undue burden or more than a nominal cost;</w:t>
      </w:r>
    </w:p>
    <w:p w:rsidR="00693C6F" w:rsidRPr="00CC6073" w:rsidRDefault="00693C6F" w:rsidP="00693C6F">
      <w:pPr>
        <w:pStyle w:val="ListParagraph"/>
        <w:numPr>
          <w:ilvl w:val="3"/>
          <w:numId w:val="1"/>
        </w:numPr>
        <w:spacing w:after="240" w:line="240" w:lineRule="auto"/>
        <w:contextualSpacing w:val="0"/>
        <w:jc w:val="both"/>
        <w:rPr>
          <w:rFonts w:ascii="Times New Roman" w:hAnsi="Times New Roman"/>
          <w:sz w:val="24"/>
        </w:rPr>
      </w:pPr>
      <w:r w:rsidRPr="00CC6073">
        <w:rPr>
          <w:rFonts w:ascii="Times New Roman" w:hAnsi="Times New Roman"/>
          <w:i/>
          <w:sz w:val="24"/>
        </w:rPr>
        <w:t>[Organization]</w:t>
      </w:r>
      <w:r w:rsidRPr="00CC6073">
        <w:rPr>
          <w:rFonts w:ascii="Times New Roman" w:hAnsi="Times New Roman"/>
          <w:sz w:val="24"/>
        </w:rPr>
        <w:t xml:space="preserve"> may not condition treatment or payment on the individual’s choice with respect to the receipt of fundraising communications</w:t>
      </w:r>
      <w:r>
        <w:rPr>
          <w:rFonts w:ascii="Times New Roman" w:hAnsi="Times New Roman"/>
          <w:sz w:val="24"/>
        </w:rPr>
        <w:t>;</w:t>
      </w:r>
    </w:p>
    <w:p w:rsidR="00693C6F" w:rsidRPr="00CC6073" w:rsidRDefault="00693C6F" w:rsidP="00693C6F">
      <w:pPr>
        <w:pStyle w:val="ListParagraph"/>
        <w:numPr>
          <w:ilvl w:val="3"/>
          <w:numId w:val="1"/>
        </w:numPr>
        <w:spacing w:after="240" w:line="240" w:lineRule="auto"/>
        <w:contextualSpacing w:val="0"/>
        <w:jc w:val="both"/>
        <w:rPr>
          <w:rFonts w:ascii="Times New Roman" w:hAnsi="Times New Roman"/>
          <w:sz w:val="24"/>
        </w:rPr>
      </w:pPr>
      <w:r w:rsidRPr="00CC6073">
        <w:rPr>
          <w:rFonts w:ascii="Times New Roman" w:hAnsi="Times New Roman"/>
          <w:i/>
          <w:sz w:val="24"/>
        </w:rPr>
        <w:t>[Organization]</w:t>
      </w:r>
      <w:r w:rsidRPr="00CC6073">
        <w:rPr>
          <w:rFonts w:ascii="Times New Roman" w:hAnsi="Times New Roman"/>
          <w:sz w:val="24"/>
        </w:rPr>
        <w:t xml:space="preserve"> may not make fundraising communications to an individual where the individual has elected not to receive such communications;</w:t>
      </w:r>
    </w:p>
    <w:p w:rsidR="00693C6F" w:rsidRPr="00CC6073" w:rsidRDefault="00693C6F" w:rsidP="00693C6F">
      <w:pPr>
        <w:pStyle w:val="ListParagraph"/>
        <w:numPr>
          <w:ilvl w:val="3"/>
          <w:numId w:val="1"/>
        </w:numPr>
        <w:spacing w:after="240" w:line="240" w:lineRule="auto"/>
        <w:contextualSpacing w:val="0"/>
        <w:jc w:val="both"/>
        <w:rPr>
          <w:rFonts w:ascii="Times New Roman" w:hAnsi="Times New Roman"/>
          <w:sz w:val="24"/>
        </w:rPr>
      </w:pPr>
      <w:r w:rsidRPr="00CC6073">
        <w:rPr>
          <w:rFonts w:ascii="Times New Roman" w:hAnsi="Times New Roman"/>
          <w:i/>
          <w:sz w:val="24"/>
        </w:rPr>
        <w:t>[Organization]</w:t>
      </w:r>
      <w:r w:rsidRPr="00CC6073">
        <w:rPr>
          <w:rFonts w:ascii="Times New Roman" w:hAnsi="Times New Roman"/>
          <w:sz w:val="24"/>
        </w:rPr>
        <w:t xml:space="preserve"> may provide an individual who has elected not to receive further fundraising communications with a method to opt back in to receive such communications; </w:t>
      </w:r>
    </w:p>
    <w:p w:rsidR="008F36B1" w:rsidRPr="00F05D9F" w:rsidRDefault="008F36B1" w:rsidP="008F36B1">
      <w:pPr>
        <w:pStyle w:val="ListParagraph"/>
        <w:numPr>
          <w:ilvl w:val="2"/>
          <w:numId w:val="1"/>
        </w:numPr>
        <w:spacing w:after="240" w:line="240" w:lineRule="auto"/>
        <w:contextualSpacing w:val="0"/>
        <w:jc w:val="both"/>
        <w:rPr>
          <w:rFonts w:ascii="Times New Roman" w:hAnsi="Times New Roman"/>
          <w:sz w:val="24"/>
          <w:u w:val="single"/>
        </w:rPr>
      </w:pPr>
      <w:r>
        <w:rPr>
          <w:rFonts w:ascii="Times New Roman" w:hAnsi="Times New Roman"/>
          <w:b/>
          <w:sz w:val="24"/>
        </w:rPr>
        <w:t xml:space="preserve">Authorization required </w:t>
      </w:r>
    </w:p>
    <w:p w:rsidR="008F36B1" w:rsidRPr="00CC6073" w:rsidRDefault="008F36B1" w:rsidP="008F36B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HIPAA requires </w:t>
      </w:r>
      <w:r w:rsidRPr="00CC6073">
        <w:rPr>
          <w:rFonts w:ascii="Times New Roman" w:hAnsi="Times New Roman" w:cs="Times New Roman"/>
          <w:i/>
          <w:sz w:val="24"/>
          <w:szCs w:val="24"/>
        </w:rPr>
        <w:t>[Organization]</w:t>
      </w:r>
      <w:r w:rsidRPr="00CC6073">
        <w:rPr>
          <w:rFonts w:ascii="Times New Roman" w:hAnsi="Times New Roman" w:cs="Times New Roman"/>
          <w:sz w:val="24"/>
          <w:szCs w:val="24"/>
        </w:rPr>
        <w:t xml:space="preserve"> </w:t>
      </w:r>
      <w:r>
        <w:rPr>
          <w:rFonts w:ascii="Times New Roman" w:hAnsi="Times New Roman" w:cs="Times New Roman"/>
          <w:sz w:val="24"/>
          <w:szCs w:val="24"/>
        </w:rPr>
        <w:t xml:space="preserve">to obtain </w:t>
      </w:r>
      <w:r w:rsidR="00A2422C">
        <w:rPr>
          <w:rFonts w:ascii="Times New Roman" w:hAnsi="Times New Roman" w:cs="Times New Roman"/>
          <w:sz w:val="24"/>
          <w:szCs w:val="24"/>
        </w:rPr>
        <w:t xml:space="preserve">a valid authorization—that meets the requirements of </w:t>
      </w:r>
      <w:r w:rsidR="00A2422C" w:rsidRPr="00A2422C">
        <w:rPr>
          <w:rFonts w:ascii="Times New Roman" w:hAnsi="Times New Roman" w:cs="Times New Roman"/>
          <w:sz w:val="24"/>
          <w:szCs w:val="24"/>
        </w:rPr>
        <w:t xml:space="preserve">policy number </w:t>
      </w:r>
      <w:r w:rsidR="00A2422C" w:rsidRPr="00A2422C">
        <w:rPr>
          <w:rFonts w:ascii="Times New Roman" w:hAnsi="Times New Roman" w:cs="Times New Roman"/>
          <w:i/>
          <w:sz w:val="24"/>
          <w:szCs w:val="24"/>
        </w:rPr>
        <w:t>[Enter]</w:t>
      </w:r>
      <w:r w:rsidR="00A2422C" w:rsidRPr="00A2422C">
        <w:rPr>
          <w:rFonts w:ascii="Times New Roman" w:hAnsi="Times New Roman" w:cs="Times New Roman"/>
          <w:sz w:val="24"/>
          <w:szCs w:val="24"/>
        </w:rPr>
        <w:t>, Authorizatio</w:t>
      </w:r>
      <w:r w:rsidR="00A2422C">
        <w:rPr>
          <w:rFonts w:ascii="Times New Roman" w:hAnsi="Times New Roman" w:cs="Times New Roman"/>
          <w:sz w:val="24"/>
          <w:szCs w:val="24"/>
        </w:rPr>
        <w:t>n for Use and Disclosure of PHI—</w:t>
      </w:r>
      <w:r>
        <w:rPr>
          <w:rFonts w:ascii="Times New Roman" w:hAnsi="Times New Roman" w:cs="Times New Roman"/>
          <w:sz w:val="24"/>
          <w:szCs w:val="24"/>
        </w:rPr>
        <w:t>prior to use or disclosure of</w:t>
      </w:r>
      <w:r w:rsidRPr="00CC6073">
        <w:rPr>
          <w:rFonts w:ascii="Times New Roman" w:hAnsi="Times New Roman" w:cs="Times New Roman"/>
          <w:sz w:val="24"/>
          <w:szCs w:val="24"/>
        </w:rPr>
        <w:t xml:space="preserve"> PHI for the purpose of fundraising if any of</w:t>
      </w:r>
      <w:r w:rsidR="00BD5AC7">
        <w:rPr>
          <w:rFonts w:ascii="Times New Roman" w:hAnsi="Times New Roman" w:cs="Times New Roman"/>
          <w:sz w:val="24"/>
          <w:szCs w:val="24"/>
        </w:rPr>
        <w:t xml:space="preserve"> the requirements in Sections B.1 or B.2 are </w:t>
      </w:r>
      <w:r w:rsidR="00171241">
        <w:rPr>
          <w:rFonts w:ascii="Times New Roman" w:hAnsi="Times New Roman" w:cs="Times New Roman"/>
          <w:sz w:val="24"/>
          <w:szCs w:val="24"/>
        </w:rPr>
        <w:t xml:space="preserve">not </w:t>
      </w:r>
      <w:r w:rsidR="00BD5AC7">
        <w:rPr>
          <w:rFonts w:ascii="Times New Roman" w:hAnsi="Times New Roman" w:cs="Times New Roman"/>
          <w:sz w:val="24"/>
          <w:szCs w:val="24"/>
        </w:rPr>
        <w:t xml:space="preserve">met.  For example, </w:t>
      </w:r>
      <w:r w:rsidR="00BD5AC7">
        <w:rPr>
          <w:rFonts w:ascii="Times New Roman" w:hAnsi="Times New Roman" w:cs="Times New Roman"/>
          <w:i/>
          <w:sz w:val="24"/>
          <w:szCs w:val="24"/>
        </w:rPr>
        <w:t xml:space="preserve">[Organization] </w:t>
      </w:r>
      <w:r w:rsidR="00BD5AC7">
        <w:rPr>
          <w:rFonts w:ascii="Times New Roman" w:hAnsi="Times New Roman" w:cs="Times New Roman"/>
          <w:sz w:val="24"/>
          <w:szCs w:val="24"/>
        </w:rPr>
        <w:t>would need to get authorization for any fundraising that is</w:t>
      </w:r>
      <w:r w:rsidRPr="00CC6073">
        <w:rPr>
          <w:rFonts w:ascii="Times New Roman" w:hAnsi="Times New Roman" w:cs="Times New Roman"/>
          <w:sz w:val="24"/>
          <w:szCs w:val="24"/>
        </w:rPr>
        <w:t>:</w:t>
      </w:r>
    </w:p>
    <w:p w:rsidR="008F36B1" w:rsidRPr="00CC6073" w:rsidRDefault="008F36B1" w:rsidP="00EC7AFF">
      <w:pPr>
        <w:pStyle w:val="ListParagraph"/>
        <w:numPr>
          <w:ilvl w:val="3"/>
          <w:numId w:val="1"/>
        </w:numPr>
        <w:spacing w:after="240" w:line="240" w:lineRule="auto"/>
        <w:contextualSpacing w:val="0"/>
        <w:jc w:val="both"/>
        <w:rPr>
          <w:rFonts w:ascii="Times New Roman" w:hAnsi="Times New Roman"/>
          <w:b/>
          <w:sz w:val="24"/>
          <w:u w:val="single"/>
        </w:rPr>
      </w:pPr>
      <w:r w:rsidRPr="00CC6073">
        <w:rPr>
          <w:rFonts w:ascii="Times New Roman" w:hAnsi="Times New Roman"/>
          <w:sz w:val="24"/>
        </w:rPr>
        <w:t xml:space="preserve">The fundraising is for the benefit of an entity other than </w:t>
      </w:r>
      <w:r w:rsidRPr="00CC6073">
        <w:rPr>
          <w:rFonts w:ascii="Times New Roman" w:hAnsi="Times New Roman"/>
          <w:i/>
          <w:sz w:val="24"/>
        </w:rPr>
        <w:t>[Organization]</w:t>
      </w:r>
      <w:r w:rsidR="007C174B">
        <w:rPr>
          <w:rFonts w:ascii="Times New Roman" w:hAnsi="Times New Roman"/>
          <w:sz w:val="24"/>
        </w:rPr>
        <w:t>, even if the information at issue would otherwise be Permitted Fundraising Information</w:t>
      </w:r>
      <w:r w:rsidRPr="00CC6073">
        <w:rPr>
          <w:rFonts w:ascii="Times New Roman" w:hAnsi="Times New Roman"/>
          <w:sz w:val="24"/>
        </w:rPr>
        <w:t>;</w:t>
      </w:r>
    </w:p>
    <w:p w:rsidR="008F36B1" w:rsidRPr="00CC6073" w:rsidRDefault="00B93FF5" w:rsidP="00EC7AFF">
      <w:pPr>
        <w:pStyle w:val="ListParagraph"/>
        <w:numPr>
          <w:ilvl w:val="3"/>
          <w:numId w:val="1"/>
        </w:numPr>
        <w:spacing w:after="240" w:line="240" w:lineRule="auto"/>
        <w:contextualSpacing w:val="0"/>
        <w:jc w:val="both"/>
        <w:rPr>
          <w:rFonts w:ascii="Times New Roman" w:hAnsi="Times New Roman"/>
          <w:b/>
          <w:sz w:val="24"/>
          <w:u w:val="single"/>
        </w:rPr>
      </w:pPr>
      <w:r>
        <w:rPr>
          <w:rFonts w:ascii="Times New Roman" w:hAnsi="Times New Roman"/>
          <w:sz w:val="24"/>
        </w:rPr>
        <w:lastRenderedPageBreak/>
        <w:t xml:space="preserve">The disclosure at issue </w:t>
      </w:r>
      <w:r w:rsidR="00DF54CA">
        <w:rPr>
          <w:rFonts w:ascii="Times New Roman" w:hAnsi="Times New Roman"/>
          <w:sz w:val="24"/>
        </w:rPr>
        <w:t xml:space="preserve">involves activities that are more extensive than fundraising and instead meet the definition of </w:t>
      </w:r>
      <w:r>
        <w:rPr>
          <w:rFonts w:ascii="Times New Roman" w:hAnsi="Times New Roman"/>
          <w:sz w:val="24"/>
        </w:rPr>
        <w:t>“marketing</w:t>
      </w:r>
      <w:r w:rsidR="00E13E8C">
        <w:rPr>
          <w:rFonts w:ascii="Times New Roman" w:hAnsi="Times New Roman"/>
          <w:sz w:val="24"/>
        </w:rPr>
        <w:t>”</w:t>
      </w:r>
      <w:r>
        <w:rPr>
          <w:rFonts w:ascii="Times New Roman" w:hAnsi="Times New Roman"/>
          <w:sz w:val="24"/>
        </w:rPr>
        <w:t>;</w:t>
      </w:r>
      <w:r w:rsidR="00BD5AC7">
        <w:rPr>
          <w:rFonts w:ascii="Times New Roman" w:hAnsi="Times New Roman"/>
          <w:sz w:val="24"/>
        </w:rPr>
        <w:t xml:space="preserve"> </w:t>
      </w:r>
    </w:p>
    <w:p w:rsidR="00D87380" w:rsidRPr="00D87380" w:rsidRDefault="008F36B1" w:rsidP="00EC7AFF">
      <w:pPr>
        <w:pStyle w:val="ListParagraph"/>
        <w:numPr>
          <w:ilvl w:val="3"/>
          <w:numId w:val="1"/>
        </w:numPr>
        <w:spacing w:after="240" w:line="240" w:lineRule="auto"/>
        <w:contextualSpacing w:val="0"/>
        <w:jc w:val="both"/>
        <w:rPr>
          <w:rFonts w:ascii="Times New Roman" w:hAnsi="Times New Roman"/>
          <w:sz w:val="24"/>
        </w:rPr>
      </w:pPr>
      <w:r w:rsidRPr="00CC6073">
        <w:rPr>
          <w:rFonts w:ascii="Times New Roman" w:hAnsi="Times New Roman"/>
          <w:sz w:val="24"/>
        </w:rPr>
        <w:t xml:space="preserve">The PHI </w:t>
      </w:r>
      <w:r w:rsidR="00BD5AC7">
        <w:rPr>
          <w:rFonts w:ascii="Times New Roman" w:hAnsi="Times New Roman"/>
          <w:sz w:val="24"/>
        </w:rPr>
        <w:t xml:space="preserve">used or disclosed </w:t>
      </w:r>
      <w:r w:rsidRPr="00CC6073">
        <w:rPr>
          <w:rFonts w:ascii="Times New Roman" w:hAnsi="Times New Roman"/>
          <w:sz w:val="24"/>
        </w:rPr>
        <w:t xml:space="preserve">includes </w:t>
      </w:r>
      <w:r>
        <w:rPr>
          <w:rFonts w:ascii="Times New Roman" w:hAnsi="Times New Roman"/>
          <w:sz w:val="24"/>
        </w:rPr>
        <w:t xml:space="preserve">information other </w:t>
      </w:r>
      <w:r w:rsidRPr="00CC6073">
        <w:rPr>
          <w:rFonts w:ascii="Times New Roman" w:hAnsi="Times New Roman"/>
          <w:sz w:val="24"/>
        </w:rPr>
        <w:t>than</w:t>
      </w:r>
      <w:r w:rsidR="00D87380">
        <w:rPr>
          <w:rFonts w:ascii="Times New Roman" w:hAnsi="Times New Roman"/>
          <w:sz w:val="24"/>
        </w:rPr>
        <w:t xml:space="preserve"> the </w:t>
      </w:r>
      <w:r w:rsidR="00CD6BDE">
        <w:rPr>
          <w:rFonts w:ascii="Times New Roman" w:hAnsi="Times New Roman"/>
          <w:sz w:val="24"/>
        </w:rPr>
        <w:t>Permitted Fundraising I</w:t>
      </w:r>
      <w:r w:rsidR="00D87380">
        <w:rPr>
          <w:rFonts w:ascii="Times New Roman" w:hAnsi="Times New Roman"/>
          <w:sz w:val="24"/>
        </w:rPr>
        <w:t xml:space="preserve">nformation listed in Section 1(d) above. </w:t>
      </w:r>
      <w:r w:rsidR="00D019BA">
        <w:rPr>
          <w:rFonts w:ascii="Times New Roman" w:hAnsi="Times New Roman"/>
          <w:sz w:val="24"/>
        </w:rPr>
        <w:t xml:space="preserve"> For example, </w:t>
      </w:r>
      <w:r w:rsidR="00D019BA" w:rsidRPr="00D019BA">
        <w:rPr>
          <w:rFonts w:ascii="Times New Roman" w:hAnsi="Times New Roman"/>
          <w:i/>
          <w:sz w:val="24"/>
        </w:rPr>
        <w:t>[Organization]</w:t>
      </w:r>
      <w:r w:rsidR="00D019BA">
        <w:rPr>
          <w:rFonts w:ascii="Times New Roman" w:hAnsi="Times New Roman"/>
          <w:sz w:val="24"/>
        </w:rPr>
        <w:t xml:space="preserve"> wants to use </w:t>
      </w:r>
      <w:r w:rsidR="00E04183">
        <w:rPr>
          <w:rFonts w:ascii="Times New Roman" w:hAnsi="Times New Roman"/>
          <w:sz w:val="24"/>
        </w:rPr>
        <w:t xml:space="preserve">information about </w:t>
      </w:r>
      <w:r w:rsidR="00B11173">
        <w:rPr>
          <w:rFonts w:ascii="Times New Roman" w:hAnsi="Times New Roman"/>
          <w:sz w:val="24"/>
        </w:rPr>
        <w:t xml:space="preserve">a specific illness, diagnosis </w:t>
      </w:r>
      <w:r w:rsidR="00752E41">
        <w:rPr>
          <w:rFonts w:ascii="Times New Roman" w:hAnsi="Times New Roman"/>
          <w:sz w:val="24"/>
        </w:rPr>
        <w:t xml:space="preserve">or disease </w:t>
      </w:r>
      <w:r w:rsidR="00E04183">
        <w:rPr>
          <w:rFonts w:ascii="Times New Roman" w:hAnsi="Times New Roman"/>
          <w:sz w:val="24"/>
        </w:rPr>
        <w:t>of recipients to</w:t>
      </w:r>
      <w:r w:rsidR="00F54BA1">
        <w:rPr>
          <w:rFonts w:ascii="Times New Roman" w:hAnsi="Times New Roman"/>
          <w:sz w:val="24"/>
        </w:rPr>
        <w:t xml:space="preserve"> raise funds</w:t>
      </w:r>
      <w:r w:rsidR="00E04183">
        <w:rPr>
          <w:rFonts w:ascii="Times New Roman" w:hAnsi="Times New Roman"/>
          <w:sz w:val="24"/>
        </w:rPr>
        <w:t>.</w:t>
      </w:r>
    </w:p>
    <w:p w:rsidR="00C2505B" w:rsidRPr="00CC6073" w:rsidRDefault="00C2505B" w:rsidP="00C2505B">
      <w:pPr>
        <w:pStyle w:val="ListParagraph"/>
        <w:numPr>
          <w:ilvl w:val="0"/>
          <w:numId w:val="1"/>
        </w:numPr>
        <w:spacing w:after="240" w:line="240" w:lineRule="auto"/>
        <w:contextualSpacing w:val="0"/>
        <w:jc w:val="both"/>
        <w:rPr>
          <w:rFonts w:ascii="Times New Roman" w:hAnsi="Times New Roman"/>
          <w:b/>
          <w:sz w:val="24"/>
          <w:u w:val="single"/>
        </w:rPr>
      </w:pPr>
      <w:r w:rsidRPr="00CC6073">
        <w:rPr>
          <w:rFonts w:ascii="Times New Roman" w:hAnsi="Times New Roman"/>
          <w:b/>
          <w:sz w:val="24"/>
          <w:u w:val="single"/>
        </w:rPr>
        <w:t>Procedure:</w:t>
      </w:r>
    </w:p>
    <w:p w:rsidR="00C2505B" w:rsidRPr="00CC6073" w:rsidRDefault="00C2505B" w:rsidP="00C2505B">
      <w:pPr>
        <w:pStyle w:val="ListParagraph"/>
        <w:numPr>
          <w:ilvl w:val="1"/>
          <w:numId w:val="1"/>
        </w:numPr>
        <w:spacing w:after="240" w:line="240" w:lineRule="auto"/>
        <w:contextualSpacing w:val="0"/>
        <w:jc w:val="both"/>
        <w:rPr>
          <w:rFonts w:ascii="Times New Roman" w:hAnsi="Times New Roman"/>
          <w:b/>
          <w:sz w:val="24"/>
          <w:u w:val="single"/>
        </w:rPr>
      </w:pPr>
      <w:r w:rsidRPr="00CC6073">
        <w:rPr>
          <w:rFonts w:ascii="Times New Roman" w:hAnsi="Times New Roman"/>
          <w:sz w:val="24"/>
        </w:rPr>
        <w:t xml:space="preserve">Prior to using PHI for fundraising purposes, </w:t>
      </w:r>
      <w:r w:rsidRPr="00CC6073">
        <w:rPr>
          <w:rFonts w:ascii="Times New Roman" w:hAnsi="Times New Roman"/>
          <w:i/>
          <w:sz w:val="24"/>
        </w:rPr>
        <w:t>[Organization]</w:t>
      </w:r>
      <w:r w:rsidR="005C1BFC">
        <w:rPr>
          <w:rFonts w:ascii="Times New Roman" w:hAnsi="Times New Roman"/>
          <w:sz w:val="24"/>
        </w:rPr>
        <w:t>’s</w:t>
      </w:r>
      <w:r w:rsidRPr="00CC6073">
        <w:rPr>
          <w:rFonts w:ascii="Times New Roman" w:hAnsi="Times New Roman"/>
          <w:sz w:val="24"/>
        </w:rPr>
        <w:t xml:space="preserve"> </w:t>
      </w:r>
      <w:r>
        <w:rPr>
          <w:rFonts w:ascii="Times New Roman" w:hAnsi="Times New Roman"/>
          <w:sz w:val="24"/>
        </w:rPr>
        <w:t>Privacy Official</w:t>
      </w:r>
      <w:r w:rsidRPr="00CC6073">
        <w:rPr>
          <w:rFonts w:ascii="Times New Roman" w:hAnsi="Times New Roman"/>
          <w:sz w:val="24"/>
        </w:rPr>
        <w:t xml:space="preserve"> or designee must:</w:t>
      </w:r>
    </w:p>
    <w:p w:rsidR="00F45F11" w:rsidRDefault="00C2505B" w:rsidP="00C2505B">
      <w:pPr>
        <w:pStyle w:val="ListParagraph"/>
        <w:numPr>
          <w:ilvl w:val="2"/>
          <w:numId w:val="1"/>
        </w:numPr>
        <w:spacing w:after="240" w:line="240" w:lineRule="auto"/>
        <w:contextualSpacing w:val="0"/>
        <w:jc w:val="both"/>
        <w:rPr>
          <w:rFonts w:ascii="Times New Roman" w:hAnsi="Times New Roman"/>
          <w:sz w:val="24"/>
        </w:rPr>
      </w:pPr>
      <w:r w:rsidRPr="00CC6073">
        <w:rPr>
          <w:rFonts w:ascii="Times New Roman" w:hAnsi="Times New Roman"/>
          <w:sz w:val="24"/>
        </w:rPr>
        <w:t xml:space="preserve">Determine </w:t>
      </w:r>
      <w:r w:rsidR="00F45F11">
        <w:rPr>
          <w:rFonts w:ascii="Times New Roman" w:hAnsi="Times New Roman"/>
          <w:sz w:val="24"/>
        </w:rPr>
        <w:t>whether the information is Permitted Fundraising Information that meets the requirements of Sections B.1 and B.2</w:t>
      </w:r>
      <w:r w:rsidR="00C25F82">
        <w:rPr>
          <w:rFonts w:ascii="Times New Roman" w:hAnsi="Times New Roman"/>
          <w:sz w:val="24"/>
        </w:rPr>
        <w:t xml:space="preserve"> and that the other requirements outlined in those sections are addressed</w:t>
      </w:r>
      <w:r w:rsidR="00F45F11">
        <w:rPr>
          <w:rFonts w:ascii="Times New Roman" w:hAnsi="Times New Roman"/>
          <w:sz w:val="24"/>
        </w:rPr>
        <w:t>;</w:t>
      </w:r>
    </w:p>
    <w:p w:rsidR="00E26EC4" w:rsidRDefault="00E26EC4" w:rsidP="00C2505B">
      <w:pPr>
        <w:pStyle w:val="ListParagraph"/>
        <w:numPr>
          <w:ilvl w:val="2"/>
          <w:numId w:val="1"/>
        </w:numPr>
        <w:spacing w:after="240" w:line="240" w:lineRule="auto"/>
        <w:contextualSpacing w:val="0"/>
        <w:jc w:val="both"/>
        <w:rPr>
          <w:rFonts w:ascii="Times New Roman" w:hAnsi="Times New Roman"/>
          <w:sz w:val="24"/>
        </w:rPr>
      </w:pPr>
      <w:r>
        <w:rPr>
          <w:rFonts w:ascii="Times New Roman" w:hAnsi="Times New Roman"/>
          <w:sz w:val="24"/>
        </w:rPr>
        <w:t xml:space="preserve">Determine whether the consent used by </w:t>
      </w:r>
      <w:r w:rsidRPr="00E26EC4">
        <w:rPr>
          <w:rFonts w:ascii="Times New Roman" w:hAnsi="Times New Roman"/>
          <w:i/>
          <w:sz w:val="24"/>
        </w:rPr>
        <w:t>[Organization]</w:t>
      </w:r>
      <w:r>
        <w:rPr>
          <w:rFonts w:ascii="Times New Roman" w:hAnsi="Times New Roman"/>
          <w:sz w:val="24"/>
        </w:rPr>
        <w:t xml:space="preserve"> permits the fundraising</w:t>
      </w:r>
      <w:r w:rsidR="0098300B">
        <w:rPr>
          <w:rFonts w:ascii="Times New Roman" w:hAnsi="Times New Roman"/>
          <w:sz w:val="24"/>
        </w:rPr>
        <w:t xml:space="preserve"> activities</w:t>
      </w:r>
      <w:r>
        <w:rPr>
          <w:rFonts w:ascii="Times New Roman" w:hAnsi="Times New Roman"/>
          <w:sz w:val="24"/>
        </w:rPr>
        <w:t>;</w:t>
      </w:r>
    </w:p>
    <w:p w:rsidR="00C2505B" w:rsidRPr="00CC6073" w:rsidRDefault="00E26EC4" w:rsidP="00C2505B">
      <w:pPr>
        <w:pStyle w:val="ListParagraph"/>
        <w:numPr>
          <w:ilvl w:val="2"/>
          <w:numId w:val="1"/>
        </w:numPr>
        <w:spacing w:after="240" w:line="240" w:lineRule="auto"/>
        <w:contextualSpacing w:val="0"/>
        <w:jc w:val="both"/>
        <w:rPr>
          <w:rFonts w:ascii="Times New Roman" w:hAnsi="Times New Roman"/>
          <w:sz w:val="24"/>
        </w:rPr>
      </w:pPr>
      <w:r>
        <w:rPr>
          <w:rFonts w:ascii="Times New Roman" w:hAnsi="Times New Roman"/>
          <w:sz w:val="24"/>
        </w:rPr>
        <w:t xml:space="preserve">Determine whether a HIPAA </w:t>
      </w:r>
      <w:r w:rsidR="00C2505B" w:rsidRPr="00CC6073">
        <w:rPr>
          <w:rFonts w:ascii="Times New Roman" w:hAnsi="Times New Roman"/>
          <w:sz w:val="24"/>
        </w:rPr>
        <w:t>authorization is required for the use or disclosure of the PHI;</w:t>
      </w:r>
    </w:p>
    <w:p w:rsidR="00C2505B" w:rsidRPr="00CC6073" w:rsidRDefault="00C2505B" w:rsidP="00C2505B">
      <w:pPr>
        <w:pStyle w:val="ListParagraph"/>
        <w:numPr>
          <w:ilvl w:val="2"/>
          <w:numId w:val="1"/>
        </w:numPr>
        <w:spacing w:after="240" w:line="240" w:lineRule="auto"/>
        <w:contextualSpacing w:val="0"/>
        <w:jc w:val="both"/>
        <w:rPr>
          <w:rFonts w:ascii="Times New Roman" w:hAnsi="Times New Roman"/>
          <w:sz w:val="24"/>
        </w:rPr>
      </w:pPr>
      <w:r>
        <w:rPr>
          <w:rFonts w:ascii="Times New Roman" w:hAnsi="Times New Roman"/>
          <w:sz w:val="24"/>
        </w:rPr>
        <w:t>Verify that a valid</w:t>
      </w:r>
      <w:r w:rsidRPr="00CC6073">
        <w:rPr>
          <w:rFonts w:ascii="Times New Roman" w:hAnsi="Times New Roman"/>
          <w:sz w:val="24"/>
        </w:rPr>
        <w:t xml:space="preserve"> authorization has been obtained, if it is determined that an authorization is needed;</w:t>
      </w:r>
    </w:p>
    <w:p w:rsidR="00D019BA" w:rsidRDefault="00C2505B" w:rsidP="00193E36">
      <w:pPr>
        <w:pStyle w:val="ListParagraph"/>
        <w:numPr>
          <w:ilvl w:val="2"/>
          <w:numId w:val="1"/>
        </w:numPr>
        <w:spacing w:after="240" w:line="240" w:lineRule="auto"/>
        <w:contextualSpacing w:val="0"/>
        <w:jc w:val="both"/>
      </w:pPr>
      <w:r w:rsidRPr="00CC6073">
        <w:rPr>
          <w:rFonts w:ascii="Times New Roman" w:hAnsi="Times New Roman"/>
          <w:sz w:val="24"/>
        </w:rPr>
        <w:t>Verify that the other requirements described in this policy</w:t>
      </w:r>
      <w:r w:rsidR="009A6518">
        <w:rPr>
          <w:rFonts w:ascii="Times New Roman" w:hAnsi="Times New Roman"/>
          <w:sz w:val="24"/>
        </w:rPr>
        <w:t xml:space="preserve"> </w:t>
      </w:r>
      <w:r w:rsidRPr="00CC6073">
        <w:rPr>
          <w:rFonts w:ascii="Times New Roman" w:hAnsi="Times New Roman"/>
          <w:sz w:val="24"/>
        </w:rPr>
        <w:t>have been met.</w:t>
      </w:r>
      <w:r w:rsidR="00193E36">
        <w:t xml:space="preserve"> </w:t>
      </w:r>
    </w:p>
    <w:sectPr w:rsidR="00D019BA" w:rsidSect="001F179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6F" w:rsidRDefault="00693C6F" w:rsidP="00693C6F">
      <w:r>
        <w:separator/>
      </w:r>
    </w:p>
  </w:endnote>
  <w:endnote w:type="continuationSeparator" w:id="0">
    <w:p w:rsidR="00693C6F" w:rsidRDefault="00693C6F" w:rsidP="0069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97" w:rsidRDefault="001F1797" w:rsidP="00502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9BA">
      <w:rPr>
        <w:rStyle w:val="PageNumber"/>
        <w:noProof/>
      </w:rPr>
      <w:t>3</w:t>
    </w:r>
    <w:r>
      <w:rPr>
        <w:rStyle w:val="PageNumber"/>
      </w:rPr>
      <w:fldChar w:fldCharType="end"/>
    </w:r>
  </w:p>
  <w:p w:rsidR="001F1797" w:rsidRDefault="001F1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97" w:rsidRDefault="001F1797" w:rsidP="001F1797">
    <w:pPr>
      <w:pStyle w:val="Footer"/>
      <w:framePr w:wrap="around" w:vAnchor="text" w:hAnchor="margin" w:xAlign="center" w:y="1"/>
      <w:jc w:val="center"/>
      <w:rPr>
        <w:rStyle w:val="PageNumber"/>
      </w:rPr>
    </w:pPr>
  </w:p>
  <w:p w:rsidR="001F1797" w:rsidRDefault="001F1797" w:rsidP="001F179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E5283">
      <w:rPr>
        <w:rStyle w:val="PageNumber"/>
        <w:noProof/>
      </w:rPr>
      <w:t>3</w:t>
    </w:r>
    <w:r>
      <w:rPr>
        <w:rStyle w:val="PageNumber"/>
      </w:rPr>
      <w:fldChar w:fldCharType="end"/>
    </w:r>
  </w:p>
  <w:p w:rsidR="001F1797" w:rsidRDefault="001F17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78859"/>
      <w:docPartObj>
        <w:docPartGallery w:val="Page Numbers (Bottom of Page)"/>
        <w:docPartUnique/>
      </w:docPartObj>
    </w:sdtPr>
    <w:sdtEndPr>
      <w:rPr>
        <w:noProof/>
      </w:rPr>
    </w:sdtEndPr>
    <w:sdtContent>
      <w:p w:rsidR="00E87A7B" w:rsidRDefault="00E87A7B">
        <w:pPr>
          <w:pStyle w:val="Footer"/>
          <w:jc w:val="center"/>
        </w:pPr>
        <w:r>
          <w:fldChar w:fldCharType="begin"/>
        </w:r>
        <w:r>
          <w:instrText xml:space="preserve"> PAGE   \* MERGEFORMAT </w:instrText>
        </w:r>
        <w:r>
          <w:fldChar w:fldCharType="separate"/>
        </w:r>
        <w:r w:rsidR="008E5283">
          <w:rPr>
            <w:noProof/>
          </w:rPr>
          <w:t>1</w:t>
        </w:r>
        <w:r>
          <w:rPr>
            <w:noProof/>
          </w:rPr>
          <w:fldChar w:fldCharType="end"/>
        </w:r>
      </w:p>
    </w:sdtContent>
  </w:sdt>
  <w:p w:rsidR="00E87A7B" w:rsidRDefault="00E87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6F" w:rsidRDefault="00693C6F" w:rsidP="00693C6F">
      <w:r>
        <w:separator/>
      </w:r>
    </w:p>
  </w:footnote>
  <w:footnote w:type="continuationSeparator" w:id="0">
    <w:p w:rsidR="00693C6F" w:rsidRDefault="00693C6F" w:rsidP="0069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6F" w:rsidRDefault="00693C6F" w:rsidP="00693C6F">
    <w:pPr>
      <w:pStyle w:val="Header"/>
      <w:jc w:val="center"/>
    </w:pPr>
    <w:r>
      <w:t>[Enter Organization Logo]</w:t>
    </w:r>
  </w:p>
  <w:p w:rsidR="00693C6F" w:rsidRDefault="00693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33" w:rsidRDefault="00B07E33" w:rsidP="00EC7AFF">
    <w:pPr>
      <w:pStyle w:val="Heading1"/>
    </w:pPr>
    <w:r>
      <w:t>[Enter Organization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19A"/>
    <w:multiLevelType w:val="multilevel"/>
    <w:tmpl w:val="1AA817F2"/>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b⌝#G┝┦9:2ŕm:j2m9c7pÒjp9bW]R[ùfÏlJ!mÑc/nJhQgwj*@iQfOl*haÄç⌑fì⌘9⌘⌌Nñ8©­Q⌏¬OÎ­⌆-‧#‣*⌛²#⌔²⌓ª&amp;oŢB*YÆ⌖±&lt;⌞±,⌎N¿©‣=J⌕⌋R¤HƔ:L2ƙ*ÒÔ)‖&quot;⌋£9⌚!í⌊⌈¤¯⌋⌄°û(Æ&lt;XV&lt;3Z`011"/>
    <w:docVar w:name="zzmp10LastTrailerInserted_4347" w:val="^`~#mp!@⌜b⌝#G┝┦9:2ŕm:j2m9c7pÒjp9bW]R[ùfÏlJ!mÑc/nJhQgwj*@iQfOl*haÄç⌑fì⌘9⌘⌌Nñ8©­Q⌏¬OÎ­⌆-‧#‣*⌛²#⌔²⌓ª&amp;oŢB*YÆ⌖±&lt;⌞±,⌎N¿©‣=J⌕⌋R¤HƔ:L2ƙ*ÒÔ)‖&quot;⌋£9⌚!í⌊⌈¤¯⌋⌄°û(Æ&lt;XV&lt;3Z`011"/>
    <w:docVar w:name="zzmp10mSEGsValidated" w:val="1"/>
  </w:docVars>
  <w:rsids>
    <w:rsidRoot w:val="00693C6F"/>
    <w:rsid w:val="000167ED"/>
    <w:rsid w:val="00034D90"/>
    <w:rsid w:val="000456C6"/>
    <w:rsid w:val="000641D1"/>
    <w:rsid w:val="000C0C1A"/>
    <w:rsid w:val="00166F8C"/>
    <w:rsid w:val="00171241"/>
    <w:rsid w:val="00193E36"/>
    <w:rsid w:val="001A4810"/>
    <w:rsid w:val="001B2CD5"/>
    <w:rsid w:val="001C1C46"/>
    <w:rsid w:val="001E5E12"/>
    <w:rsid w:val="001F1797"/>
    <w:rsid w:val="002253FF"/>
    <w:rsid w:val="0027294E"/>
    <w:rsid w:val="0029178A"/>
    <w:rsid w:val="002B1C3D"/>
    <w:rsid w:val="00300CAF"/>
    <w:rsid w:val="00387125"/>
    <w:rsid w:val="00390611"/>
    <w:rsid w:val="003954FB"/>
    <w:rsid w:val="003E7C23"/>
    <w:rsid w:val="00404557"/>
    <w:rsid w:val="004D797C"/>
    <w:rsid w:val="004F2DF5"/>
    <w:rsid w:val="00530DBD"/>
    <w:rsid w:val="005C1BFC"/>
    <w:rsid w:val="005E2947"/>
    <w:rsid w:val="00693C6F"/>
    <w:rsid w:val="006B0A34"/>
    <w:rsid w:val="006B7B2B"/>
    <w:rsid w:val="00752E41"/>
    <w:rsid w:val="007541C1"/>
    <w:rsid w:val="00760747"/>
    <w:rsid w:val="007C174B"/>
    <w:rsid w:val="008E0190"/>
    <w:rsid w:val="008E5283"/>
    <w:rsid w:val="008F36B1"/>
    <w:rsid w:val="00942CC4"/>
    <w:rsid w:val="0095050B"/>
    <w:rsid w:val="00956809"/>
    <w:rsid w:val="00973D49"/>
    <w:rsid w:val="00977254"/>
    <w:rsid w:val="0098300B"/>
    <w:rsid w:val="009A6518"/>
    <w:rsid w:val="009F309E"/>
    <w:rsid w:val="00A2422C"/>
    <w:rsid w:val="00A74D45"/>
    <w:rsid w:val="00AB6E9F"/>
    <w:rsid w:val="00B00CAC"/>
    <w:rsid w:val="00B05D07"/>
    <w:rsid w:val="00B07E33"/>
    <w:rsid w:val="00B11173"/>
    <w:rsid w:val="00B93FF5"/>
    <w:rsid w:val="00BA513D"/>
    <w:rsid w:val="00BD5AC7"/>
    <w:rsid w:val="00C2505B"/>
    <w:rsid w:val="00C25F82"/>
    <w:rsid w:val="00CD6BDE"/>
    <w:rsid w:val="00D019BA"/>
    <w:rsid w:val="00D454F6"/>
    <w:rsid w:val="00D87380"/>
    <w:rsid w:val="00DC08B2"/>
    <w:rsid w:val="00DD3B21"/>
    <w:rsid w:val="00DF54CA"/>
    <w:rsid w:val="00E04183"/>
    <w:rsid w:val="00E13E8C"/>
    <w:rsid w:val="00E26EC4"/>
    <w:rsid w:val="00E432B4"/>
    <w:rsid w:val="00E562E8"/>
    <w:rsid w:val="00E7137F"/>
    <w:rsid w:val="00E87A7B"/>
    <w:rsid w:val="00EC7AFF"/>
    <w:rsid w:val="00F171CF"/>
    <w:rsid w:val="00F45F11"/>
    <w:rsid w:val="00F54BA1"/>
    <w:rsid w:val="00F66A4E"/>
    <w:rsid w:val="00F908AE"/>
    <w:rsid w:val="00FA14C5"/>
    <w:rsid w:val="00FB494D"/>
    <w:rsid w:val="00FB587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6F"/>
    <w:rPr>
      <w:rFonts w:cs="Times New Roman"/>
      <w:szCs w:val="24"/>
    </w:rPr>
  </w:style>
  <w:style w:type="paragraph" w:styleId="Heading1">
    <w:name w:val="heading 1"/>
    <w:basedOn w:val="Header"/>
    <w:next w:val="Normal"/>
    <w:link w:val="Heading1Char"/>
    <w:uiPriority w:val="9"/>
    <w:qFormat/>
    <w:rsid w:val="00EC7AFF"/>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6F"/>
    <w:pPr>
      <w:spacing w:after="200" w:line="276" w:lineRule="auto"/>
      <w:ind w:left="720"/>
      <w:contextualSpacing/>
    </w:pPr>
    <w:rPr>
      <w:rFonts w:asciiTheme="minorHAnsi" w:eastAsiaTheme="minorEastAsia" w:hAnsiTheme="minorHAnsi"/>
      <w:sz w:val="22"/>
    </w:rPr>
  </w:style>
  <w:style w:type="paragraph" w:styleId="NoSpacing">
    <w:name w:val="No Spacing"/>
    <w:uiPriority w:val="1"/>
    <w:qFormat/>
    <w:rsid w:val="00693C6F"/>
    <w:rPr>
      <w:rFonts w:asciiTheme="minorHAnsi" w:eastAsiaTheme="minorEastAsia" w:hAnsiTheme="minorHAnsi"/>
      <w:sz w:val="22"/>
    </w:rPr>
  </w:style>
  <w:style w:type="paragraph" w:styleId="Header">
    <w:name w:val="header"/>
    <w:basedOn w:val="Normal"/>
    <w:link w:val="HeaderChar"/>
    <w:uiPriority w:val="99"/>
    <w:unhideWhenUsed/>
    <w:rsid w:val="00693C6F"/>
    <w:pPr>
      <w:tabs>
        <w:tab w:val="center" w:pos="4680"/>
        <w:tab w:val="right" w:pos="9360"/>
      </w:tabs>
    </w:pPr>
  </w:style>
  <w:style w:type="character" w:customStyle="1" w:styleId="HeaderChar">
    <w:name w:val="Header Char"/>
    <w:basedOn w:val="DefaultParagraphFont"/>
    <w:link w:val="Header"/>
    <w:uiPriority w:val="99"/>
    <w:rsid w:val="00693C6F"/>
    <w:rPr>
      <w:rFonts w:cs="Times New Roman"/>
      <w:szCs w:val="24"/>
    </w:rPr>
  </w:style>
  <w:style w:type="paragraph" w:styleId="Footer">
    <w:name w:val="footer"/>
    <w:basedOn w:val="Normal"/>
    <w:link w:val="FooterChar"/>
    <w:uiPriority w:val="99"/>
    <w:unhideWhenUsed/>
    <w:rsid w:val="00693C6F"/>
    <w:pPr>
      <w:tabs>
        <w:tab w:val="center" w:pos="4680"/>
        <w:tab w:val="right" w:pos="9360"/>
      </w:tabs>
    </w:pPr>
  </w:style>
  <w:style w:type="character" w:customStyle="1" w:styleId="FooterChar">
    <w:name w:val="Footer Char"/>
    <w:basedOn w:val="DefaultParagraphFont"/>
    <w:link w:val="Footer"/>
    <w:uiPriority w:val="99"/>
    <w:rsid w:val="00693C6F"/>
    <w:rPr>
      <w:rFonts w:cs="Times New Roman"/>
      <w:szCs w:val="24"/>
    </w:rPr>
  </w:style>
  <w:style w:type="character" w:styleId="PageNumber">
    <w:name w:val="page number"/>
    <w:basedOn w:val="DefaultParagraphFont"/>
    <w:uiPriority w:val="99"/>
    <w:semiHidden/>
    <w:unhideWhenUsed/>
    <w:rsid w:val="001F1797"/>
  </w:style>
  <w:style w:type="paragraph" w:customStyle="1" w:styleId="MacPacTrailer">
    <w:name w:val="MacPac Trailer"/>
    <w:rsid w:val="00D019BA"/>
    <w:pPr>
      <w:widowControl w:val="0"/>
      <w:spacing w:line="200" w:lineRule="exact"/>
    </w:pPr>
    <w:rPr>
      <w:rFonts w:eastAsia="Times New Roman" w:cs="Times New Roman"/>
      <w:sz w:val="16"/>
    </w:rPr>
  </w:style>
  <w:style w:type="paragraph" w:styleId="BalloonText">
    <w:name w:val="Balloon Text"/>
    <w:basedOn w:val="Normal"/>
    <w:link w:val="BalloonTextChar"/>
    <w:uiPriority w:val="99"/>
    <w:semiHidden/>
    <w:unhideWhenUsed/>
    <w:rsid w:val="00DD3B21"/>
    <w:rPr>
      <w:rFonts w:ascii="Tahoma" w:hAnsi="Tahoma" w:cs="Tahoma"/>
      <w:sz w:val="16"/>
      <w:szCs w:val="16"/>
    </w:rPr>
  </w:style>
  <w:style w:type="character" w:customStyle="1" w:styleId="BalloonTextChar">
    <w:name w:val="Balloon Text Char"/>
    <w:basedOn w:val="DefaultParagraphFont"/>
    <w:link w:val="BalloonText"/>
    <w:uiPriority w:val="99"/>
    <w:semiHidden/>
    <w:rsid w:val="00DD3B21"/>
    <w:rPr>
      <w:rFonts w:ascii="Tahoma" w:hAnsi="Tahoma" w:cs="Tahoma"/>
      <w:sz w:val="16"/>
      <w:szCs w:val="16"/>
    </w:rPr>
  </w:style>
  <w:style w:type="character" w:styleId="PlaceholderText">
    <w:name w:val="Placeholder Text"/>
    <w:basedOn w:val="DefaultParagraphFont"/>
    <w:uiPriority w:val="99"/>
    <w:semiHidden/>
    <w:rsid w:val="00DD3B21"/>
    <w:rPr>
      <w:color w:val="808080"/>
    </w:rPr>
  </w:style>
  <w:style w:type="paragraph" w:styleId="FootnoteText">
    <w:name w:val="footnote text"/>
    <w:basedOn w:val="Normal"/>
    <w:link w:val="FootnoteTextChar"/>
    <w:uiPriority w:val="99"/>
    <w:semiHidden/>
    <w:unhideWhenUsed/>
    <w:rsid w:val="006B7B2B"/>
    <w:rPr>
      <w:sz w:val="20"/>
      <w:szCs w:val="20"/>
    </w:rPr>
  </w:style>
  <w:style w:type="character" w:customStyle="1" w:styleId="FootnoteTextChar">
    <w:name w:val="Footnote Text Char"/>
    <w:basedOn w:val="DefaultParagraphFont"/>
    <w:link w:val="FootnoteText"/>
    <w:uiPriority w:val="99"/>
    <w:semiHidden/>
    <w:rsid w:val="006B7B2B"/>
    <w:rPr>
      <w:rFonts w:cs="Times New Roman"/>
      <w:sz w:val="20"/>
      <w:szCs w:val="20"/>
    </w:rPr>
  </w:style>
  <w:style w:type="character" w:styleId="FootnoteReference">
    <w:name w:val="footnote reference"/>
    <w:basedOn w:val="DefaultParagraphFont"/>
    <w:uiPriority w:val="99"/>
    <w:semiHidden/>
    <w:unhideWhenUsed/>
    <w:rsid w:val="006B7B2B"/>
    <w:rPr>
      <w:vertAlign w:val="superscript"/>
    </w:rPr>
  </w:style>
  <w:style w:type="character" w:customStyle="1" w:styleId="Heading1Char">
    <w:name w:val="Heading 1 Char"/>
    <w:basedOn w:val="DefaultParagraphFont"/>
    <w:link w:val="Heading1"/>
    <w:uiPriority w:val="9"/>
    <w:rsid w:val="00EC7AFF"/>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6F"/>
    <w:rPr>
      <w:rFonts w:cs="Times New Roman"/>
      <w:szCs w:val="24"/>
    </w:rPr>
  </w:style>
  <w:style w:type="paragraph" w:styleId="Heading1">
    <w:name w:val="heading 1"/>
    <w:basedOn w:val="Header"/>
    <w:next w:val="Normal"/>
    <w:link w:val="Heading1Char"/>
    <w:uiPriority w:val="9"/>
    <w:qFormat/>
    <w:rsid w:val="00EC7AFF"/>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6F"/>
    <w:pPr>
      <w:spacing w:after="200" w:line="276" w:lineRule="auto"/>
      <w:ind w:left="720"/>
      <w:contextualSpacing/>
    </w:pPr>
    <w:rPr>
      <w:rFonts w:asciiTheme="minorHAnsi" w:eastAsiaTheme="minorEastAsia" w:hAnsiTheme="minorHAnsi"/>
      <w:sz w:val="22"/>
    </w:rPr>
  </w:style>
  <w:style w:type="paragraph" w:styleId="NoSpacing">
    <w:name w:val="No Spacing"/>
    <w:uiPriority w:val="1"/>
    <w:qFormat/>
    <w:rsid w:val="00693C6F"/>
    <w:rPr>
      <w:rFonts w:asciiTheme="minorHAnsi" w:eastAsiaTheme="minorEastAsia" w:hAnsiTheme="minorHAnsi"/>
      <w:sz w:val="22"/>
    </w:rPr>
  </w:style>
  <w:style w:type="paragraph" w:styleId="Header">
    <w:name w:val="header"/>
    <w:basedOn w:val="Normal"/>
    <w:link w:val="HeaderChar"/>
    <w:uiPriority w:val="99"/>
    <w:unhideWhenUsed/>
    <w:rsid w:val="00693C6F"/>
    <w:pPr>
      <w:tabs>
        <w:tab w:val="center" w:pos="4680"/>
        <w:tab w:val="right" w:pos="9360"/>
      </w:tabs>
    </w:pPr>
  </w:style>
  <w:style w:type="character" w:customStyle="1" w:styleId="HeaderChar">
    <w:name w:val="Header Char"/>
    <w:basedOn w:val="DefaultParagraphFont"/>
    <w:link w:val="Header"/>
    <w:uiPriority w:val="99"/>
    <w:rsid w:val="00693C6F"/>
    <w:rPr>
      <w:rFonts w:cs="Times New Roman"/>
      <w:szCs w:val="24"/>
    </w:rPr>
  </w:style>
  <w:style w:type="paragraph" w:styleId="Footer">
    <w:name w:val="footer"/>
    <w:basedOn w:val="Normal"/>
    <w:link w:val="FooterChar"/>
    <w:uiPriority w:val="99"/>
    <w:unhideWhenUsed/>
    <w:rsid w:val="00693C6F"/>
    <w:pPr>
      <w:tabs>
        <w:tab w:val="center" w:pos="4680"/>
        <w:tab w:val="right" w:pos="9360"/>
      </w:tabs>
    </w:pPr>
  </w:style>
  <w:style w:type="character" w:customStyle="1" w:styleId="FooterChar">
    <w:name w:val="Footer Char"/>
    <w:basedOn w:val="DefaultParagraphFont"/>
    <w:link w:val="Footer"/>
    <w:uiPriority w:val="99"/>
    <w:rsid w:val="00693C6F"/>
    <w:rPr>
      <w:rFonts w:cs="Times New Roman"/>
      <w:szCs w:val="24"/>
    </w:rPr>
  </w:style>
  <w:style w:type="character" w:styleId="PageNumber">
    <w:name w:val="page number"/>
    <w:basedOn w:val="DefaultParagraphFont"/>
    <w:uiPriority w:val="99"/>
    <w:semiHidden/>
    <w:unhideWhenUsed/>
    <w:rsid w:val="001F1797"/>
  </w:style>
  <w:style w:type="paragraph" w:customStyle="1" w:styleId="MacPacTrailer">
    <w:name w:val="MacPac Trailer"/>
    <w:rsid w:val="00D019BA"/>
    <w:pPr>
      <w:widowControl w:val="0"/>
      <w:spacing w:line="200" w:lineRule="exact"/>
    </w:pPr>
    <w:rPr>
      <w:rFonts w:eastAsia="Times New Roman" w:cs="Times New Roman"/>
      <w:sz w:val="16"/>
    </w:rPr>
  </w:style>
  <w:style w:type="paragraph" w:styleId="BalloonText">
    <w:name w:val="Balloon Text"/>
    <w:basedOn w:val="Normal"/>
    <w:link w:val="BalloonTextChar"/>
    <w:uiPriority w:val="99"/>
    <w:semiHidden/>
    <w:unhideWhenUsed/>
    <w:rsid w:val="00DD3B21"/>
    <w:rPr>
      <w:rFonts w:ascii="Tahoma" w:hAnsi="Tahoma" w:cs="Tahoma"/>
      <w:sz w:val="16"/>
      <w:szCs w:val="16"/>
    </w:rPr>
  </w:style>
  <w:style w:type="character" w:customStyle="1" w:styleId="BalloonTextChar">
    <w:name w:val="Balloon Text Char"/>
    <w:basedOn w:val="DefaultParagraphFont"/>
    <w:link w:val="BalloonText"/>
    <w:uiPriority w:val="99"/>
    <w:semiHidden/>
    <w:rsid w:val="00DD3B21"/>
    <w:rPr>
      <w:rFonts w:ascii="Tahoma" w:hAnsi="Tahoma" w:cs="Tahoma"/>
      <w:sz w:val="16"/>
      <w:szCs w:val="16"/>
    </w:rPr>
  </w:style>
  <w:style w:type="character" w:styleId="PlaceholderText">
    <w:name w:val="Placeholder Text"/>
    <w:basedOn w:val="DefaultParagraphFont"/>
    <w:uiPriority w:val="99"/>
    <w:semiHidden/>
    <w:rsid w:val="00DD3B21"/>
    <w:rPr>
      <w:color w:val="808080"/>
    </w:rPr>
  </w:style>
  <w:style w:type="paragraph" w:styleId="FootnoteText">
    <w:name w:val="footnote text"/>
    <w:basedOn w:val="Normal"/>
    <w:link w:val="FootnoteTextChar"/>
    <w:uiPriority w:val="99"/>
    <w:semiHidden/>
    <w:unhideWhenUsed/>
    <w:rsid w:val="006B7B2B"/>
    <w:rPr>
      <w:sz w:val="20"/>
      <w:szCs w:val="20"/>
    </w:rPr>
  </w:style>
  <w:style w:type="character" w:customStyle="1" w:styleId="FootnoteTextChar">
    <w:name w:val="Footnote Text Char"/>
    <w:basedOn w:val="DefaultParagraphFont"/>
    <w:link w:val="FootnoteText"/>
    <w:uiPriority w:val="99"/>
    <w:semiHidden/>
    <w:rsid w:val="006B7B2B"/>
    <w:rPr>
      <w:rFonts w:cs="Times New Roman"/>
      <w:sz w:val="20"/>
      <w:szCs w:val="20"/>
    </w:rPr>
  </w:style>
  <w:style w:type="character" w:styleId="FootnoteReference">
    <w:name w:val="footnote reference"/>
    <w:basedOn w:val="DefaultParagraphFont"/>
    <w:uiPriority w:val="99"/>
    <w:semiHidden/>
    <w:unhideWhenUsed/>
    <w:rsid w:val="006B7B2B"/>
    <w:rPr>
      <w:vertAlign w:val="superscript"/>
    </w:rPr>
  </w:style>
  <w:style w:type="character" w:customStyle="1" w:styleId="Heading1Char">
    <w:name w:val="Heading 1 Char"/>
    <w:basedOn w:val="DefaultParagraphFont"/>
    <w:link w:val="Heading1"/>
    <w:uiPriority w:val="9"/>
    <w:rsid w:val="00EC7AF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3C0020CC.dotm</Template>
  <TotalTime>16</TotalTime>
  <Pages>3</Pages>
  <Words>776</Words>
  <Characters>4517</Characters>
  <Application>Microsoft Office Word</Application>
  <DocSecurity>0</DocSecurity>
  <Lines>86</Lines>
  <Paragraphs>44</Paragraphs>
  <ScaleCrop>false</ScaleCrop>
  <HeadingPairs>
    <vt:vector size="2" baseType="variant">
      <vt:variant>
        <vt:lpstr>Title</vt:lpstr>
      </vt:variant>
      <vt:variant>
        <vt:i4>1</vt:i4>
      </vt:variant>
    </vt:vector>
  </HeadingPairs>
  <TitlesOfParts>
    <vt:vector size="1" baseType="lpstr">
      <vt:lpstr>Use and Disclosure of PHI for Fundraising</vt:lpstr>
    </vt:vector>
  </TitlesOfParts>
  <Company>Gray Plant Mooty</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and Disclosure of PHI for Fundraising</dc:title>
  <dc:subject>Fundraising</dc:subject>
  <dc:creator>Reiland, Julia C.</dc:creator>
  <cp:lastModifiedBy>Schue, Lila M.</cp:lastModifiedBy>
  <cp:revision>4</cp:revision>
  <cp:lastPrinted>2016-12-30T01:14:00Z</cp:lastPrinted>
  <dcterms:created xsi:type="dcterms:W3CDTF">2017-01-23T16:17:00Z</dcterms:created>
  <dcterms:modified xsi:type="dcterms:W3CDTF">2017-01-23T16:33:00Z</dcterms:modified>
  <cp:category>Foundations in Privacy Toolkit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13a5f58e-e3ca-4a7b-aef2-c41ba15dffdb</vt:lpwstr>
  </property>
  <property fmtid="{D5CDD505-2E9C-101B-9397-08002B2CF9AE}" pid="3" name="_MarkAsFinal">
    <vt:bool>true</vt:bool>
  </property>
</Properties>
</file>