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6D" w:rsidRDefault="00E57E58" w:rsidP="0004686D">
      <w:pPr>
        <w:widowControl w:val="0"/>
        <w:jc w:val="center"/>
        <w:rPr>
          <w:rFonts w:eastAsia="Times New Roman" w:cs="Times New Roman"/>
          <w:b/>
          <w:szCs w:val="24"/>
        </w:rPr>
      </w:pPr>
      <w:bookmarkStart w:id="0" w:name="_GoBack"/>
      <w:bookmarkEnd w:id="0"/>
      <w:r>
        <w:rPr>
          <w:rFonts w:eastAsia="Times New Roman" w:cs="Times New Roman"/>
          <w:b/>
          <w:szCs w:val="24"/>
        </w:rPr>
        <w:t xml:space="preserve">CONSENT TO DISCLOSE HEALTH INFORMATION </w:t>
      </w:r>
      <w:r w:rsidR="0004686D">
        <w:rPr>
          <w:rFonts w:eastAsia="Times New Roman" w:cs="Times New Roman"/>
          <w:b/>
          <w:szCs w:val="24"/>
        </w:rPr>
        <w:t>UNDER MINNESOTA LAW</w:t>
      </w:r>
    </w:p>
    <w:p w:rsidR="0004686D" w:rsidRPr="00C1480B" w:rsidRDefault="0004686D" w:rsidP="0004686D">
      <w:pPr>
        <w:widowControl w:val="0"/>
        <w:jc w:val="center"/>
        <w:rPr>
          <w:rFonts w:eastAsia="Times New Roman" w:cs="Times New Roman"/>
          <w:b/>
          <w:szCs w:val="24"/>
        </w:rPr>
      </w:pPr>
    </w:p>
    <w:p w:rsidR="0004686D" w:rsidRPr="00C1480B" w:rsidRDefault="0004686D" w:rsidP="0004686D">
      <w:pPr>
        <w:widowControl w:val="0"/>
        <w:jc w:val="center"/>
        <w:rPr>
          <w:rFonts w:eastAsia="Times New Roman" w:cs="Times New Roman"/>
          <w:b/>
          <w:szCs w:val="24"/>
        </w:rPr>
      </w:pPr>
      <w:r w:rsidRPr="00C1480B">
        <w:rPr>
          <w:rFonts w:eastAsia="Times New Roman" w:cs="Times New Roman"/>
          <w:b/>
          <w:szCs w:val="24"/>
        </w:rPr>
        <w:t>Policy Number: [Enter]</w:t>
      </w:r>
    </w:p>
    <w:p w:rsidR="0004686D" w:rsidRPr="00C1480B" w:rsidRDefault="0004686D" w:rsidP="0004686D">
      <w:pPr>
        <w:widowControl w:val="0"/>
        <w:jc w:val="center"/>
        <w:rPr>
          <w:rFonts w:eastAsia="Times New Roman" w:cs="Times New Roman"/>
          <w:b/>
          <w:szCs w:val="24"/>
        </w:rPr>
      </w:pPr>
      <w:r w:rsidRPr="00C1480B">
        <w:rPr>
          <w:rFonts w:eastAsia="Times New Roman" w:cs="Times New Roman"/>
          <w:b/>
          <w:szCs w:val="24"/>
        </w:rPr>
        <w:t>Effective Date: [Enter]</w:t>
      </w:r>
    </w:p>
    <w:p w:rsidR="0004686D" w:rsidRPr="0004686D" w:rsidRDefault="0004686D" w:rsidP="0004686D">
      <w:pPr>
        <w:pStyle w:val="ListParagraph"/>
        <w:numPr>
          <w:ilvl w:val="0"/>
          <w:numId w:val="1"/>
        </w:numPr>
        <w:spacing w:after="240" w:line="240" w:lineRule="auto"/>
        <w:contextualSpacing w:val="0"/>
        <w:jc w:val="both"/>
        <w:rPr>
          <w:rFonts w:ascii="Times New Roman" w:hAnsi="Times New Roman" w:cs="Times New Roman"/>
          <w:sz w:val="24"/>
          <w:szCs w:val="24"/>
        </w:rPr>
      </w:pPr>
      <w:r w:rsidRPr="0004686D">
        <w:rPr>
          <w:rFonts w:ascii="Times New Roman" w:hAnsi="Times New Roman" w:cs="Times New Roman"/>
          <w:b/>
          <w:sz w:val="24"/>
          <w:szCs w:val="24"/>
          <w:u w:val="single"/>
        </w:rPr>
        <w:t>Policy:</w:t>
      </w:r>
    </w:p>
    <w:p w:rsidR="0004686D" w:rsidRPr="0004686D" w:rsidRDefault="0004686D"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sidRPr="0004686D">
        <w:rPr>
          <w:rFonts w:ascii="Times New Roman" w:hAnsi="Times New Roman" w:cs="Times New Roman"/>
          <w:b/>
          <w:sz w:val="24"/>
          <w:szCs w:val="24"/>
        </w:rPr>
        <w:t>Purpose</w:t>
      </w:r>
    </w:p>
    <w:p w:rsidR="0004686D" w:rsidRPr="0004686D" w:rsidRDefault="0004686D" w:rsidP="0004686D">
      <w:pPr>
        <w:spacing w:after="240"/>
        <w:ind w:left="720"/>
        <w:jc w:val="both"/>
        <w:rPr>
          <w:rFonts w:cs="Times New Roman"/>
          <w:szCs w:val="24"/>
        </w:rPr>
      </w:pPr>
      <w:r w:rsidRPr="0004686D">
        <w:rPr>
          <w:rFonts w:cs="Times New Roman"/>
          <w:szCs w:val="24"/>
        </w:rPr>
        <w:t xml:space="preserve">This policy establishes consent requirements for the disclosure of </w:t>
      </w:r>
      <w:r w:rsidR="006515CE">
        <w:rPr>
          <w:rFonts w:cs="Times New Roman"/>
          <w:szCs w:val="24"/>
        </w:rPr>
        <w:t>health information</w:t>
      </w:r>
      <w:r w:rsidRPr="0004686D">
        <w:rPr>
          <w:rFonts w:cs="Times New Roman"/>
          <w:szCs w:val="24"/>
        </w:rPr>
        <w:t xml:space="preserve"> as required </w:t>
      </w:r>
      <w:r w:rsidR="006515CE">
        <w:rPr>
          <w:rFonts w:cs="Times New Roman"/>
          <w:szCs w:val="24"/>
        </w:rPr>
        <w:t>by</w:t>
      </w:r>
      <w:r w:rsidRPr="0004686D">
        <w:rPr>
          <w:rFonts w:cs="Times New Roman"/>
          <w:szCs w:val="24"/>
        </w:rPr>
        <w:t xml:space="preserve"> the Minnesota Health Records Act. </w:t>
      </w:r>
    </w:p>
    <w:p w:rsidR="006515CE" w:rsidRDefault="006515CE"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Background</w:t>
      </w:r>
    </w:p>
    <w:p w:rsidR="00D856FE" w:rsidRDefault="00D856FE" w:rsidP="006515CE">
      <w:pPr>
        <w:spacing w:after="240"/>
        <w:ind w:left="720"/>
        <w:jc w:val="both"/>
        <w:rPr>
          <w:rFonts w:cs="Times New Roman"/>
          <w:szCs w:val="24"/>
        </w:rPr>
      </w:pPr>
      <w:r>
        <w:rPr>
          <w:rFonts w:cs="Times New Roman"/>
          <w:szCs w:val="24"/>
        </w:rPr>
        <w:t>[</w:t>
      </w:r>
      <w:r w:rsidRPr="00D856FE">
        <w:rPr>
          <w:rFonts w:cs="Times New Roman"/>
          <w:i/>
          <w:szCs w:val="24"/>
        </w:rPr>
        <w:t>Organization</w:t>
      </w:r>
      <w:r>
        <w:rPr>
          <w:rFonts w:cs="Times New Roman"/>
          <w:szCs w:val="24"/>
        </w:rPr>
        <w:t xml:space="preserve">] and its workforce are subject to many consent requirements under both state and federal law, which often creates confusion. </w:t>
      </w:r>
      <w:r w:rsidR="00CE0AB2">
        <w:rPr>
          <w:rFonts w:cs="Times New Roman"/>
          <w:szCs w:val="24"/>
        </w:rPr>
        <w:t xml:space="preserve"> </w:t>
      </w:r>
      <w:r>
        <w:rPr>
          <w:rFonts w:cs="Times New Roman"/>
          <w:szCs w:val="24"/>
        </w:rPr>
        <w:t xml:space="preserve">For example, HIPAA and Minnesota law have different patient consent requirements and use different terminology.  </w:t>
      </w:r>
      <w:r w:rsidR="006515CE">
        <w:rPr>
          <w:rFonts w:cs="Times New Roman"/>
          <w:szCs w:val="24"/>
        </w:rPr>
        <w:t xml:space="preserve">The general rule under HIPAA is that </w:t>
      </w:r>
      <w:r w:rsidR="006515CE" w:rsidRPr="006515CE">
        <w:rPr>
          <w:rFonts w:cs="Times New Roman"/>
          <w:szCs w:val="24"/>
        </w:rPr>
        <w:t xml:space="preserve">PHI may not be </w:t>
      </w:r>
      <w:r w:rsidR="006515CE" w:rsidRPr="00A733B9">
        <w:rPr>
          <w:rFonts w:cs="Times New Roman"/>
          <w:i/>
          <w:szCs w:val="24"/>
        </w:rPr>
        <w:t>used or disclosed</w:t>
      </w:r>
      <w:r w:rsidR="006515CE" w:rsidRPr="006515CE">
        <w:rPr>
          <w:rFonts w:cs="Times New Roman"/>
          <w:szCs w:val="24"/>
        </w:rPr>
        <w:t xml:space="preserve"> by </w:t>
      </w:r>
      <w:r w:rsidR="006515CE" w:rsidRPr="006515CE">
        <w:rPr>
          <w:rFonts w:cs="Times New Roman"/>
          <w:i/>
          <w:szCs w:val="24"/>
        </w:rPr>
        <w:t xml:space="preserve">[Organization] </w:t>
      </w:r>
      <w:r w:rsidR="006515CE" w:rsidRPr="006515CE">
        <w:rPr>
          <w:rFonts w:cs="Times New Roman"/>
          <w:szCs w:val="24"/>
        </w:rPr>
        <w:t xml:space="preserve">unless the use or disclosure is specifically permitted by HIPAA or </w:t>
      </w:r>
      <w:r w:rsidR="006515CE" w:rsidRPr="006515CE">
        <w:rPr>
          <w:rFonts w:cs="Times New Roman"/>
          <w:szCs w:val="24"/>
          <w:u w:val="single"/>
        </w:rPr>
        <w:t>authorized</w:t>
      </w:r>
      <w:r w:rsidR="006515CE" w:rsidRPr="006515CE">
        <w:rPr>
          <w:rFonts w:cs="Times New Roman"/>
          <w:szCs w:val="24"/>
        </w:rPr>
        <w:t xml:space="preserve"> by the patient</w:t>
      </w:r>
      <w:r w:rsidR="006515CE">
        <w:rPr>
          <w:rFonts w:cs="Times New Roman"/>
          <w:szCs w:val="24"/>
        </w:rPr>
        <w:t xml:space="preserve">.  “Patient Authorization” under HIPAA refers to a very specific type of patient consent.  However, </w:t>
      </w:r>
      <w:r w:rsidR="006515CE" w:rsidRPr="006515CE">
        <w:rPr>
          <w:rFonts w:cs="Times New Roman"/>
          <w:szCs w:val="24"/>
        </w:rPr>
        <w:t xml:space="preserve">Minnesota Law </w:t>
      </w:r>
      <w:r w:rsidR="00A733B9">
        <w:rPr>
          <w:rFonts w:cs="Times New Roman"/>
          <w:szCs w:val="24"/>
        </w:rPr>
        <w:t xml:space="preserve">only addresses the </w:t>
      </w:r>
      <w:r w:rsidR="00A733B9" w:rsidRPr="00A733B9">
        <w:rPr>
          <w:rFonts w:cs="Times New Roman"/>
          <w:i/>
          <w:szCs w:val="24"/>
        </w:rPr>
        <w:t>disclosure</w:t>
      </w:r>
      <w:r w:rsidR="00A733B9">
        <w:rPr>
          <w:rFonts w:cs="Times New Roman"/>
          <w:szCs w:val="24"/>
        </w:rPr>
        <w:t xml:space="preserve"> of information and </w:t>
      </w:r>
      <w:r>
        <w:rPr>
          <w:rFonts w:cs="Times New Roman"/>
          <w:szCs w:val="24"/>
        </w:rPr>
        <w:t xml:space="preserve">generally requires patient </w:t>
      </w:r>
      <w:r w:rsidRPr="00D856FE">
        <w:rPr>
          <w:rFonts w:cs="Times New Roman"/>
          <w:szCs w:val="24"/>
          <w:u w:val="single"/>
        </w:rPr>
        <w:t>consent</w:t>
      </w:r>
      <w:r w:rsidR="00A733B9">
        <w:rPr>
          <w:rFonts w:cs="Times New Roman"/>
          <w:szCs w:val="24"/>
        </w:rPr>
        <w:t xml:space="preserve"> prior to such disclosure (as opposed to patient authorization required by HIPAA)</w:t>
      </w:r>
      <w:r w:rsidR="0084023C">
        <w:rPr>
          <w:rFonts w:cs="Times New Roman"/>
          <w:szCs w:val="24"/>
        </w:rPr>
        <w:t>.</w:t>
      </w:r>
    </w:p>
    <w:p w:rsidR="00A733B9" w:rsidRPr="006515CE" w:rsidRDefault="006515CE" w:rsidP="006515CE">
      <w:pPr>
        <w:spacing w:after="240"/>
        <w:ind w:left="720"/>
        <w:jc w:val="both"/>
        <w:rPr>
          <w:rFonts w:cs="Times New Roman"/>
          <w:szCs w:val="24"/>
        </w:rPr>
      </w:pPr>
      <w:r w:rsidRPr="006515CE">
        <w:rPr>
          <w:rFonts w:cs="Times New Roman"/>
          <w:i/>
          <w:szCs w:val="24"/>
        </w:rPr>
        <w:t xml:space="preserve">[Organization] </w:t>
      </w:r>
      <w:r>
        <w:rPr>
          <w:rFonts w:cs="Times New Roman"/>
          <w:szCs w:val="24"/>
        </w:rPr>
        <w:t xml:space="preserve">and its staff must use this policy to determine when “consent” </w:t>
      </w:r>
      <w:r w:rsidR="00D856FE">
        <w:rPr>
          <w:rFonts w:cs="Times New Roman"/>
          <w:szCs w:val="24"/>
        </w:rPr>
        <w:t xml:space="preserve">is required under Minnesota law, </w:t>
      </w:r>
      <w:r>
        <w:rPr>
          <w:rFonts w:cs="Times New Roman"/>
          <w:szCs w:val="24"/>
        </w:rPr>
        <w:t>understand how this is different than patient a</w:t>
      </w:r>
      <w:r w:rsidR="00D856FE">
        <w:rPr>
          <w:rFonts w:cs="Times New Roman"/>
          <w:szCs w:val="24"/>
        </w:rPr>
        <w:t>uthorization required by HIPAA, and comply with other consent requirements under Minnesota law.</w:t>
      </w:r>
    </w:p>
    <w:p w:rsidR="0004686D" w:rsidRPr="0004686D" w:rsidRDefault="0004686D"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sidRPr="0004686D">
        <w:rPr>
          <w:rFonts w:ascii="Times New Roman" w:hAnsi="Times New Roman" w:cs="Times New Roman"/>
          <w:b/>
          <w:sz w:val="24"/>
          <w:szCs w:val="24"/>
        </w:rPr>
        <w:t>Policy Implementation - General Rule</w:t>
      </w:r>
      <w:r w:rsidR="0084023C">
        <w:rPr>
          <w:rFonts w:ascii="Times New Roman" w:hAnsi="Times New Roman" w:cs="Times New Roman"/>
          <w:b/>
          <w:sz w:val="24"/>
          <w:szCs w:val="24"/>
        </w:rPr>
        <w:t xml:space="preserve"> (Patient Consent Required)</w:t>
      </w:r>
    </w:p>
    <w:p w:rsidR="0004686D" w:rsidRPr="0004686D" w:rsidRDefault="0004686D" w:rsidP="0004686D">
      <w:pPr>
        <w:spacing w:after="240"/>
        <w:ind w:left="720"/>
        <w:jc w:val="both"/>
        <w:rPr>
          <w:rFonts w:cs="Times New Roman"/>
          <w:b/>
          <w:szCs w:val="24"/>
        </w:rPr>
      </w:pPr>
      <w:r w:rsidRPr="0004686D">
        <w:rPr>
          <w:rFonts w:cs="Times New Roman"/>
          <w:szCs w:val="24"/>
        </w:rPr>
        <w:t xml:space="preserve">Except as described in this policy or unless a disclosure is specifically authorized by law, </w:t>
      </w:r>
      <w:r w:rsidRPr="0004686D">
        <w:rPr>
          <w:rFonts w:cs="Times New Roman"/>
          <w:i/>
          <w:szCs w:val="24"/>
        </w:rPr>
        <w:t xml:space="preserve">[Organization] </w:t>
      </w:r>
      <w:r w:rsidRPr="0004686D">
        <w:rPr>
          <w:rFonts w:cs="Times New Roman"/>
          <w:szCs w:val="24"/>
        </w:rPr>
        <w:t xml:space="preserve">shall not disclose an individual’s </w:t>
      </w:r>
      <w:r w:rsidR="006515CE">
        <w:rPr>
          <w:rFonts w:cs="Times New Roman"/>
          <w:szCs w:val="24"/>
        </w:rPr>
        <w:t>health information</w:t>
      </w:r>
      <w:r w:rsidRPr="0004686D">
        <w:rPr>
          <w:rFonts w:cs="Times New Roman"/>
          <w:szCs w:val="24"/>
        </w:rPr>
        <w:t xml:space="preserve"> without a signed and dated consent authorizing the disclosure from the individual or the individual’s legally authorized representative.  </w:t>
      </w:r>
    </w:p>
    <w:p w:rsidR="0004686D" w:rsidRPr="0004686D" w:rsidRDefault="0004686D" w:rsidP="0004686D">
      <w:pPr>
        <w:pStyle w:val="ShadingIndentinNormal"/>
        <w:spacing w:after="240"/>
        <w:jc w:val="both"/>
        <w:rPr>
          <w:sz w:val="24"/>
        </w:rPr>
      </w:pPr>
      <w:r w:rsidRPr="0004686D">
        <w:rPr>
          <w:sz w:val="24"/>
        </w:rPr>
        <w:t xml:space="preserve">Obtaining consent for the disclosure of </w:t>
      </w:r>
      <w:r w:rsidR="001A4233">
        <w:rPr>
          <w:sz w:val="24"/>
        </w:rPr>
        <w:t>health information</w:t>
      </w:r>
      <w:r w:rsidRPr="0004686D">
        <w:rPr>
          <w:sz w:val="24"/>
        </w:rPr>
        <w:t xml:space="preserve"> as required by Minnesota Statutes </w:t>
      </w:r>
      <w:r w:rsidRPr="0004686D">
        <w:rPr>
          <w:sz w:val="24"/>
          <w:u w:val="single"/>
        </w:rPr>
        <w:t>does not</w:t>
      </w:r>
      <w:r w:rsidRPr="0004686D">
        <w:rPr>
          <w:sz w:val="24"/>
        </w:rPr>
        <w:t xml:space="preserve"> satisfy or eliminate the requirement of the HIPAA Regulations to obtain an </w:t>
      </w:r>
      <w:r w:rsidRPr="001A4233">
        <w:rPr>
          <w:sz w:val="24"/>
        </w:rPr>
        <w:t>authorization</w:t>
      </w:r>
      <w:r w:rsidRPr="0004686D">
        <w:rPr>
          <w:sz w:val="24"/>
        </w:rPr>
        <w:t xml:space="preserve"> when such an authorization is required under HIPAA for certain disclosures of PHI. </w:t>
      </w:r>
    </w:p>
    <w:p w:rsidR="0084023C" w:rsidRPr="00FB344F" w:rsidRDefault="0004686D" w:rsidP="004D76E9">
      <w:pPr>
        <w:pStyle w:val="ShadingIndentinNormal"/>
        <w:spacing w:after="240"/>
        <w:jc w:val="both"/>
        <w:rPr>
          <w:sz w:val="24"/>
        </w:rPr>
      </w:pPr>
      <w:r w:rsidRPr="0004686D">
        <w:rPr>
          <w:sz w:val="24"/>
        </w:rPr>
        <w:t xml:space="preserve">However, obtaining a valid authorization under the HIPAA Regulations </w:t>
      </w:r>
      <w:r w:rsidRPr="0004686D">
        <w:rPr>
          <w:sz w:val="24"/>
          <w:u w:val="single"/>
        </w:rPr>
        <w:t>does</w:t>
      </w:r>
      <w:r w:rsidRPr="0004686D">
        <w:rPr>
          <w:sz w:val="24"/>
        </w:rPr>
        <w:t xml:space="preserve"> satisfy the consent requirements under Minnesota Law.</w:t>
      </w:r>
    </w:p>
    <w:p w:rsidR="00E57E58" w:rsidRDefault="00E57E58"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Representation From Provider</w:t>
      </w:r>
    </w:p>
    <w:p w:rsidR="00E57E58" w:rsidRDefault="00E57E58" w:rsidP="00E57E58">
      <w:pPr>
        <w:spacing w:after="240"/>
        <w:ind w:left="720"/>
        <w:jc w:val="both"/>
        <w:rPr>
          <w:rFonts w:cs="Times New Roman"/>
          <w:szCs w:val="24"/>
        </w:rPr>
      </w:pPr>
      <w:r w:rsidRPr="00D856FE">
        <w:rPr>
          <w:rFonts w:cs="Times New Roman"/>
          <w:szCs w:val="24"/>
        </w:rPr>
        <w:t>[</w:t>
      </w:r>
      <w:r w:rsidRPr="00D856FE">
        <w:rPr>
          <w:rFonts w:cs="Times New Roman"/>
          <w:i/>
          <w:szCs w:val="24"/>
        </w:rPr>
        <w:t>Organization</w:t>
      </w:r>
      <w:r w:rsidRPr="00D856FE">
        <w:rPr>
          <w:rFonts w:cs="Times New Roman"/>
          <w:szCs w:val="24"/>
        </w:rPr>
        <w:t xml:space="preserve">] may disclose information when there is a representation from a provider that </w:t>
      </w:r>
      <w:r>
        <w:rPr>
          <w:rFonts w:cs="Times New Roman"/>
          <w:szCs w:val="24"/>
        </w:rPr>
        <w:t xml:space="preserve">it </w:t>
      </w:r>
      <w:r w:rsidRPr="00D856FE">
        <w:rPr>
          <w:rFonts w:cs="Times New Roman"/>
          <w:szCs w:val="24"/>
        </w:rPr>
        <w:t xml:space="preserve">holds a signed and dated consent from the </w:t>
      </w:r>
      <w:r>
        <w:rPr>
          <w:rFonts w:cs="Times New Roman"/>
          <w:szCs w:val="24"/>
        </w:rPr>
        <w:t>patient authorizing the release, provided [</w:t>
      </w:r>
      <w:r w:rsidRPr="00FB344F">
        <w:rPr>
          <w:rFonts w:cs="Times New Roman"/>
          <w:i/>
          <w:szCs w:val="24"/>
        </w:rPr>
        <w:t>Organization</w:t>
      </w:r>
      <w:r>
        <w:rPr>
          <w:rFonts w:cs="Times New Roman"/>
          <w:szCs w:val="24"/>
        </w:rPr>
        <w:t>] documents:</w:t>
      </w:r>
    </w:p>
    <w:p w:rsidR="00E57E58" w:rsidRPr="00FB344F" w:rsidRDefault="00E57E58" w:rsidP="00E57E58">
      <w:pPr>
        <w:pStyle w:val="ListParagraph"/>
        <w:numPr>
          <w:ilvl w:val="0"/>
          <w:numId w:val="2"/>
        </w:numPr>
        <w:spacing w:after="240"/>
        <w:jc w:val="both"/>
        <w:rPr>
          <w:rFonts w:ascii="Times New Roman" w:hAnsi="Times New Roman" w:cs="Times New Roman"/>
          <w:sz w:val="24"/>
          <w:szCs w:val="24"/>
        </w:rPr>
      </w:pPr>
      <w:r>
        <w:rPr>
          <w:rFonts w:ascii="Times New Roman" w:hAnsi="Times New Roman" w:cs="Times New Roman"/>
          <w:sz w:val="24"/>
          <w:szCs w:val="24"/>
        </w:rPr>
        <w:lastRenderedPageBreak/>
        <w:t>T</w:t>
      </w:r>
      <w:r w:rsidRPr="00FB344F">
        <w:rPr>
          <w:rFonts w:ascii="Times New Roman" w:hAnsi="Times New Roman" w:cs="Times New Roman"/>
          <w:sz w:val="24"/>
          <w:szCs w:val="24"/>
        </w:rPr>
        <w:t>he provider requesting the health records;</w:t>
      </w:r>
    </w:p>
    <w:p w:rsidR="00E57E58" w:rsidRPr="00FB344F" w:rsidRDefault="00E57E58" w:rsidP="00E57E58">
      <w:pPr>
        <w:pStyle w:val="ListParagraph"/>
        <w:numPr>
          <w:ilvl w:val="0"/>
          <w:numId w:val="2"/>
        </w:numPr>
        <w:spacing w:after="240"/>
        <w:jc w:val="both"/>
        <w:rPr>
          <w:rFonts w:ascii="Times New Roman" w:hAnsi="Times New Roman" w:cs="Times New Roman"/>
          <w:sz w:val="24"/>
          <w:szCs w:val="24"/>
        </w:rPr>
      </w:pPr>
      <w:r>
        <w:rPr>
          <w:rFonts w:ascii="Times New Roman" w:hAnsi="Times New Roman" w:cs="Times New Roman"/>
          <w:sz w:val="24"/>
          <w:szCs w:val="24"/>
        </w:rPr>
        <w:t>T</w:t>
      </w:r>
      <w:r w:rsidRPr="00FB344F">
        <w:rPr>
          <w:rFonts w:ascii="Times New Roman" w:hAnsi="Times New Roman" w:cs="Times New Roman"/>
          <w:sz w:val="24"/>
          <w:szCs w:val="24"/>
        </w:rPr>
        <w:t>he identity of the patient;</w:t>
      </w:r>
    </w:p>
    <w:p w:rsidR="00E57E58" w:rsidRPr="00FB344F" w:rsidRDefault="00E57E58" w:rsidP="00E57E58">
      <w:pPr>
        <w:pStyle w:val="ListParagraph"/>
        <w:numPr>
          <w:ilvl w:val="0"/>
          <w:numId w:val="2"/>
        </w:numPr>
        <w:spacing w:after="240"/>
        <w:jc w:val="both"/>
        <w:rPr>
          <w:rFonts w:ascii="Times New Roman" w:hAnsi="Times New Roman" w:cs="Times New Roman"/>
          <w:sz w:val="24"/>
          <w:szCs w:val="24"/>
        </w:rPr>
      </w:pPr>
      <w:r>
        <w:rPr>
          <w:rFonts w:ascii="Times New Roman" w:hAnsi="Times New Roman" w:cs="Times New Roman"/>
          <w:sz w:val="24"/>
          <w:szCs w:val="24"/>
        </w:rPr>
        <w:t>T</w:t>
      </w:r>
      <w:r w:rsidRPr="00FB344F">
        <w:rPr>
          <w:rFonts w:ascii="Times New Roman" w:hAnsi="Times New Roman" w:cs="Times New Roman"/>
          <w:sz w:val="24"/>
          <w:szCs w:val="24"/>
        </w:rPr>
        <w:t>he health records requested; and</w:t>
      </w:r>
    </w:p>
    <w:p w:rsidR="00E57E58" w:rsidRDefault="00E57E58" w:rsidP="00E57E58">
      <w:pPr>
        <w:pStyle w:val="ListParagraph"/>
        <w:numPr>
          <w:ilvl w:val="0"/>
          <w:numId w:val="2"/>
        </w:numPr>
        <w:spacing w:after="240"/>
        <w:jc w:val="both"/>
        <w:rPr>
          <w:rFonts w:ascii="Times New Roman" w:hAnsi="Times New Roman" w:cs="Times New Roman"/>
          <w:sz w:val="24"/>
          <w:szCs w:val="24"/>
        </w:rPr>
      </w:pPr>
      <w:r>
        <w:rPr>
          <w:rFonts w:ascii="Times New Roman" w:hAnsi="Times New Roman" w:cs="Times New Roman"/>
          <w:sz w:val="24"/>
          <w:szCs w:val="24"/>
        </w:rPr>
        <w:t>T</w:t>
      </w:r>
      <w:r w:rsidRPr="00FB344F">
        <w:rPr>
          <w:rFonts w:ascii="Times New Roman" w:hAnsi="Times New Roman" w:cs="Times New Roman"/>
          <w:sz w:val="24"/>
          <w:szCs w:val="24"/>
        </w:rPr>
        <w:t>he date the health records were requested.</w:t>
      </w:r>
    </w:p>
    <w:p w:rsidR="00E57E58" w:rsidRPr="00E57E58" w:rsidRDefault="00E57E58" w:rsidP="00E57E58">
      <w:pPr>
        <w:pStyle w:val="ListParagraph"/>
        <w:spacing w:after="240"/>
        <w:ind w:left="1440"/>
        <w:jc w:val="both"/>
        <w:rPr>
          <w:rFonts w:ascii="Times New Roman" w:hAnsi="Times New Roman" w:cs="Times New Roman"/>
          <w:sz w:val="24"/>
          <w:szCs w:val="24"/>
        </w:rPr>
      </w:pPr>
    </w:p>
    <w:p w:rsidR="00952CC2" w:rsidRPr="00C34397" w:rsidRDefault="00952CC2"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sidRPr="00C34397">
        <w:rPr>
          <w:rFonts w:ascii="Times New Roman" w:hAnsi="Times New Roman" w:cs="Times New Roman"/>
          <w:b/>
          <w:sz w:val="24"/>
          <w:szCs w:val="24"/>
        </w:rPr>
        <w:t>Specific Authorization in Law</w:t>
      </w:r>
    </w:p>
    <w:p w:rsidR="008E3503" w:rsidRPr="00C34397" w:rsidRDefault="00C34397" w:rsidP="008E3503">
      <w:pPr>
        <w:spacing w:after="240"/>
        <w:ind w:left="720"/>
        <w:jc w:val="both"/>
        <w:rPr>
          <w:rFonts w:cs="Times New Roman"/>
          <w:szCs w:val="24"/>
        </w:rPr>
      </w:pPr>
      <w:r w:rsidRPr="00C34397">
        <w:rPr>
          <w:rFonts w:cs="Times New Roman"/>
          <w:szCs w:val="24"/>
        </w:rPr>
        <w:t>[</w:t>
      </w:r>
      <w:r w:rsidRPr="00C34397">
        <w:rPr>
          <w:rFonts w:cs="Times New Roman"/>
          <w:i/>
          <w:szCs w:val="24"/>
        </w:rPr>
        <w:t>Organization</w:t>
      </w:r>
      <w:r w:rsidRPr="00C34397">
        <w:rPr>
          <w:rFonts w:cs="Times New Roman"/>
          <w:szCs w:val="24"/>
        </w:rPr>
        <w:t>]</w:t>
      </w:r>
      <w:r>
        <w:rPr>
          <w:rFonts w:cs="Times New Roman"/>
          <w:szCs w:val="24"/>
        </w:rPr>
        <w:t xml:space="preserve"> may disclose health information without patient consent when </w:t>
      </w:r>
      <w:r w:rsidR="009D251B">
        <w:rPr>
          <w:rFonts w:cs="Times New Roman"/>
          <w:szCs w:val="24"/>
        </w:rPr>
        <w:t>it is required by</w:t>
      </w:r>
      <w:r>
        <w:rPr>
          <w:rFonts w:cs="Times New Roman"/>
          <w:szCs w:val="24"/>
        </w:rPr>
        <w:t xml:space="preserve"> law to do so.  For example, birth and death records must be reported to the Department of Health.  In addition, [</w:t>
      </w:r>
      <w:r w:rsidRPr="00C34397">
        <w:rPr>
          <w:rFonts w:cs="Times New Roman"/>
          <w:i/>
          <w:szCs w:val="24"/>
        </w:rPr>
        <w:t>Organization</w:t>
      </w:r>
      <w:r>
        <w:rPr>
          <w:rFonts w:cs="Times New Roman"/>
          <w:szCs w:val="24"/>
        </w:rPr>
        <w:t xml:space="preserve">] is required to disclose instances of tuberculosis.  </w:t>
      </w:r>
      <w:r w:rsidR="00D971D4">
        <w:rPr>
          <w:rFonts w:cs="Times New Roman"/>
          <w:szCs w:val="24"/>
        </w:rPr>
        <w:t>[</w:t>
      </w:r>
      <w:r w:rsidR="00D971D4" w:rsidRPr="00D971D4">
        <w:rPr>
          <w:rFonts w:cs="Times New Roman"/>
          <w:i/>
          <w:szCs w:val="24"/>
        </w:rPr>
        <w:t>Organization</w:t>
      </w:r>
      <w:r w:rsidR="00D971D4">
        <w:rPr>
          <w:rFonts w:cs="Times New Roman"/>
          <w:szCs w:val="24"/>
        </w:rPr>
        <w:t xml:space="preserve">] must document the release in the patient’s health record. </w:t>
      </w:r>
    </w:p>
    <w:p w:rsidR="0004686D" w:rsidRPr="0004686D" w:rsidRDefault="0004686D"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sidRPr="0004686D">
        <w:rPr>
          <w:rFonts w:ascii="Times New Roman" w:hAnsi="Times New Roman" w:cs="Times New Roman"/>
          <w:b/>
          <w:sz w:val="24"/>
          <w:szCs w:val="24"/>
        </w:rPr>
        <w:t>Permitted Disclosures without a Consent</w:t>
      </w:r>
    </w:p>
    <w:p w:rsidR="0004686D" w:rsidRPr="0004686D" w:rsidRDefault="0004686D" w:rsidP="0004686D">
      <w:pPr>
        <w:spacing w:after="240"/>
        <w:ind w:left="720"/>
        <w:jc w:val="both"/>
        <w:rPr>
          <w:rFonts w:eastAsia="Times New Roman" w:cs="Times New Roman"/>
          <w:szCs w:val="24"/>
        </w:rPr>
      </w:pPr>
      <w:r w:rsidRPr="0004686D">
        <w:rPr>
          <w:rFonts w:cs="Times New Roman"/>
          <w:i/>
          <w:szCs w:val="24"/>
        </w:rPr>
        <w:t xml:space="preserve">[Organization] </w:t>
      </w:r>
      <w:r w:rsidRPr="0004686D">
        <w:rPr>
          <w:rFonts w:eastAsia="Times New Roman" w:cs="Times New Roman"/>
          <w:szCs w:val="24"/>
        </w:rPr>
        <w:t xml:space="preserve">may disclose </w:t>
      </w:r>
      <w:r w:rsidR="001A4233">
        <w:rPr>
          <w:rFonts w:eastAsia="Times New Roman" w:cs="Times New Roman"/>
          <w:szCs w:val="24"/>
        </w:rPr>
        <w:t>health information without patient consent</w:t>
      </w:r>
      <w:r w:rsidRPr="0004686D">
        <w:rPr>
          <w:rFonts w:eastAsia="Times New Roman" w:cs="Times New Roman"/>
          <w:szCs w:val="24"/>
        </w:rPr>
        <w:t>:</w:t>
      </w:r>
    </w:p>
    <w:p w:rsidR="0004686D" w:rsidRPr="0004686D" w:rsidRDefault="004D76E9" w:rsidP="0004686D">
      <w:pPr>
        <w:pStyle w:val="ListParagraph"/>
        <w:numPr>
          <w:ilvl w:val="2"/>
          <w:numId w:val="1"/>
        </w:numPr>
        <w:spacing w:after="24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 Medical E</w:t>
      </w:r>
      <w:r w:rsidR="0004686D" w:rsidRPr="0004686D">
        <w:rPr>
          <w:rFonts w:ascii="Times New Roman" w:eastAsia="Times New Roman" w:hAnsi="Times New Roman" w:cs="Times New Roman"/>
          <w:sz w:val="24"/>
          <w:szCs w:val="24"/>
        </w:rPr>
        <w:t xml:space="preserve">mergency when </w:t>
      </w:r>
      <w:r w:rsidR="00CE0AB2">
        <w:rPr>
          <w:rFonts w:ascii="Times New Roman" w:hAnsi="Times New Roman" w:cs="Times New Roman"/>
          <w:i/>
          <w:sz w:val="24"/>
          <w:szCs w:val="24"/>
        </w:rPr>
        <w:t>[Organization]</w:t>
      </w:r>
      <w:r w:rsidR="0004686D" w:rsidRPr="0004686D">
        <w:rPr>
          <w:rFonts w:ascii="Times New Roman" w:eastAsia="Times New Roman" w:hAnsi="Times New Roman" w:cs="Times New Roman"/>
          <w:sz w:val="24"/>
          <w:szCs w:val="24"/>
        </w:rPr>
        <w:t xml:space="preserve"> is unable to obtain the individual’s consent due to the individual’s </w:t>
      </w:r>
      <w:r w:rsidR="007439EE">
        <w:rPr>
          <w:rFonts w:ascii="Times New Roman" w:eastAsia="Times New Roman" w:hAnsi="Times New Roman" w:cs="Times New Roman"/>
          <w:sz w:val="24"/>
          <w:szCs w:val="24"/>
        </w:rPr>
        <w:t>condition or the nature of the Medical E</w:t>
      </w:r>
      <w:r w:rsidR="0004686D" w:rsidRPr="0004686D">
        <w:rPr>
          <w:rFonts w:ascii="Times New Roman" w:eastAsia="Times New Roman" w:hAnsi="Times New Roman" w:cs="Times New Roman"/>
          <w:sz w:val="24"/>
          <w:szCs w:val="24"/>
        </w:rPr>
        <w:t>mergency;</w:t>
      </w:r>
    </w:p>
    <w:p w:rsidR="0004686D" w:rsidRPr="0004686D" w:rsidRDefault="0004686D" w:rsidP="0004686D">
      <w:pPr>
        <w:pStyle w:val="ListParagraph"/>
        <w:numPr>
          <w:ilvl w:val="2"/>
          <w:numId w:val="1"/>
        </w:numPr>
        <w:spacing w:after="240" w:line="240" w:lineRule="auto"/>
        <w:contextualSpacing w:val="0"/>
        <w:jc w:val="both"/>
        <w:rPr>
          <w:rFonts w:ascii="Times New Roman" w:eastAsia="Times New Roman" w:hAnsi="Times New Roman" w:cs="Times New Roman"/>
          <w:sz w:val="24"/>
          <w:szCs w:val="24"/>
        </w:rPr>
      </w:pPr>
      <w:r w:rsidRPr="0004686D">
        <w:rPr>
          <w:rFonts w:ascii="Times New Roman" w:eastAsia="Times New Roman" w:hAnsi="Times New Roman" w:cs="Times New Roman"/>
          <w:sz w:val="24"/>
          <w:szCs w:val="24"/>
        </w:rPr>
        <w:t>To othe</w:t>
      </w:r>
      <w:r w:rsidR="004D76E9">
        <w:rPr>
          <w:rFonts w:ascii="Times New Roman" w:eastAsia="Times New Roman" w:hAnsi="Times New Roman" w:cs="Times New Roman"/>
          <w:sz w:val="24"/>
          <w:szCs w:val="24"/>
        </w:rPr>
        <w:t>r health care providers within Related Health Care E</w:t>
      </w:r>
      <w:r w:rsidRPr="0004686D">
        <w:rPr>
          <w:rFonts w:ascii="Times New Roman" w:eastAsia="Times New Roman" w:hAnsi="Times New Roman" w:cs="Times New Roman"/>
          <w:sz w:val="24"/>
          <w:szCs w:val="24"/>
        </w:rPr>
        <w:t xml:space="preserve">ntities when necessary for the current treatment of the individual; </w:t>
      </w:r>
    </w:p>
    <w:p w:rsidR="0004686D" w:rsidRPr="0004686D" w:rsidRDefault="0004686D" w:rsidP="0004686D">
      <w:pPr>
        <w:pStyle w:val="ListParagraph"/>
        <w:numPr>
          <w:ilvl w:val="2"/>
          <w:numId w:val="1"/>
        </w:numPr>
        <w:spacing w:after="240" w:line="240" w:lineRule="auto"/>
        <w:contextualSpacing w:val="0"/>
        <w:jc w:val="both"/>
        <w:rPr>
          <w:rFonts w:ascii="Times New Roman" w:eastAsia="Times New Roman" w:hAnsi="Times New Roman" w:cs="Times New Roman"/>
          <w:sz w:val="24"/>
          <w:szCs w:val="24"/>
        </w:rPr>
      </w:pPr>
      <w:r w:rsidRPr="0004686D">
        <w:rPr>
          <w:rFonts w:ascii="Times New Roman" w:eastAsia="Times New Roman" w:hAnsi="Times New Roman" w:cs="Times New Roman"/>
          <w:sz w:val="24"/>
          <w:szCs w:val="24"/>
        </w:rPr>
        <w:t>To a health care facility licensed by Minnesota Statutes chapter 144, Minnesota Statutes chapter 144A, or to the same types of health care facilities licensed by chapter 144 and chapter 144A that are licensed in another state when a patient:</w:t>
      </w:r>
    </w:p>
    <w:p w:rsidR="0004686D" w:rsidRPr="0004686D" w:rsidRDefault="0004686D" w:rsidP="0004686D">
      <w:pPr>
        <w:pStyle w:val="ListParagraph"/>
        <w:numPr>
          <w:ilvl w:val="3"/>
          <w:numId w:val="1"/>
        </w:numPr>
        <w:spacing w:after="240" w:line="240" w:lineRule="auto"/>
        <w:contextualSpacing w:val="0"/>
        <w:jc w:val="both"/>
        <w:rPr>
          <w:rFonts w:ascii="Times New Roman" w:eastAsia="Times New Roman" w:hAnsi="Times New Roman" w:cs="Times New Roman"/>
          <w:sz w:val="24"/>
          <w:szCs w:val="24"/>
        </w:rPr>
      </w:pPr>
      <w:r w:rsidRPr="0004686D">
        <w:rPr>
          <w:rFonts w:ascii="Times New Roman" w:eastAsia="Times New Roman" w:hAnsi="Times New Roman" w:cs="Times New Roman"/>
          <w:sz w:val="24"/>
          <w:szCs w:val="24"/>
        </w:rPr>
        <w:t>Is returning to the health care facility and unable to provide consent; or</w:t>
      </w:r>
    </w:p>
    <w:p w:rsidR="0004686D" w:rsidRPr="0004686D" w:rsidRDefault="0004686D" w:rsidP="0004686D">
      <w:pPr>
        <w:pStyle w:val="ListParagraph"/>
        <w:numPr>
          <w:ilvl w:val="3"/>
          <w:numId w:val="1"/>
        </w:numPr>
        <w:spacing w:after="240" w:line="240" w:lineRule="auto"/>
        <w:contextualSpacing w:val="0"/>
        <w:jc w:val="both"/>
        <w:rPr>
          <w:rFonts w:ascii="Times New Roman" w:eastAsia="Times New Roman" w:hAnsi="Times New Roman" w:cs="Times New Roman"/>
          <w:sz w:val="24"/>
          <w:szCs w:val="24"/>
        </w:rPr>
      </w:pPr>
      <w:r w:rsidRPr="0004686D">
        <w:rPr>
          <w:rFonts w:ascii="Times New Roman" w:eastAsia="Times New Roman" w:hAnsi="Times New Roman" w:cs="Times New Roman"/>
          <w:sz w:val="24"/>
          <w:szCs w:val="24"/>
        </w:rPr>
        <w:t>Who resides in the health care facility, has services provided by an outside resource under 42 CFR section 483.75(h), and is unable to provide consent; or</w:t>
      </w:r>
    </w:p>
    <w:p w:rsidR="0004686D" w:rsidRDefault="0004686D" w:rsidP="0004686D">
      <w:pPr>
        <w:pStyle w:val="ListParagraph"/>
        <w:numPr>
          <w:ilvl w:val="2"/>
          <w:numId w:val="1"/>
        </w:numPr>
        <w:spacing w:after="240" w:line="240" w:lineRule="auto"/>
        <w:contextualSpacing w:val="0"/>
        <w:jc w:val="both"/>
        <w:rPr>
          <w:rFonts w:ascii="Times New Roman" w:eastAsia="Times New Roman" w:hAnsi="Times New Roman" w:cs="Times New Roman"/>
          <w:sz w:val="24"/>
          <w:szCs w:val="24"/>
        </w:rPr>
      </w:pPr>
      <w:r w:rsidRPr="0004686D">
        <w:rPr>
          <w:rFonts w:ascii="Times New Roman" w:eastAsia="Times New Roman" w:hAnsi="Times New Roman" w:cs="Times New Roman"/>
          <w:sz w:val="24"/>
          <w:szCs w:val="24"/>
        </w:rPr>
        <w:t>When the disclosure is</w:t>
      </w:r>
      <w:r w:rsidR="00FB344F">
        <w:rPr>
          <w:rFonts w:ascii="Times New Roman" w:eastAsia="Times New Roman" w:hAnsi="Times New Roman" w:cs="Times New Roman"/>
          <w:sz w:val="24"/>
          <w:szCs w:val="24"/>
        </w:rPr>
        <w:t xml:space="preserve"> specifically authorized by law; and</w:t>
      </w:r>
    </w:p>
    <w:p w:rsidR="00FB344F" w:rsidRDefault="00FB344F" w:rsidP="0004686D">
      <w:pPr>
        <w:pStyle w:val="ListParagraph"/>
        <w:numPr>
          <w:ilvl w:val="2"/>
          <w:numId w:val="1"/>
        </w:numPr>
        <w:spacing w:after="24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disclosure is to the commissioner of health or the Health Data Institute under chapter 62J, provided that the commissioner encrypts the patient identifier upon receipt of the data. </w:t>
      </w:r>
    </w:p>
    <w:p w:rsidR="00D26F19" w:rsidRPr="0004686D" w:rsidRDefault="00D26F19" w:rsidP="0004686D">
      <w:pPr>
        <w:pStyle w:val="ListParagraph"/>
        <w:numPr>
          <w:ilvl w:val="2"/>
          <w:numId w:val="1"/>
        </w:numPr>
        <w:spacing w:after="24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r w:rsidRPr="00D26F19">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is releasing a deceased patient’s health care records to another provider for the purposes of diagnosing or treating the deceased patient’s surviving adult child. </w:t>
      </w:r>
    </w:p>
    <w:p w:rsidR="0004686D" w:rsidRPr="00E74AEC" w:rsidRDefault="0004686D" w:rsidP="0004686D">
      <w:pPr>
        <w:shd w:val="pct10" w:color="auto" w:fill="auto"/>
        <w:spacing w:after="240"/>
        <w:ind w:left="360" w:right="720"/>
        <w:jc w:val="both"/>
        <w:rPr>
          <w:rFonts w:eastAsia="Times New Roman" w:cs="Times New Roman"/>
          <w:b/>
          <w:szCs w:val="24"/>
        </w:rPr>
      </w:pPr>
      <w:r w:rsidRPr="0004686D">
        <w:rPr>
          <w:rFonts w:eastAsia="Times New Roman" w:cs="Times New Roman"/>
          <w:b/>
          <w:szCs w:val="24"/>
        </w:rPr>
        <w:t xml:space="preserve">If </w:t>
      </w:r>
      <w:r w:rsidRPr="0004686D">
        <w:rPr>
          <w:rFonts w:cs="Times New Roman"/>
          <w:b/>
          <w:i/>
          <w:szCs w:val="24"/>
        </w:rPr>
        <w:t xml:space="preserve">[Organization] </w:t>
      </w:r>
      <w:r w:rsidRPr="0004686D">
        <w:rPr>
          <w:rFonts w:eastAsia="Times New Roman" w:cs="Times New Roman"/>
          <w:b/>
          <w:szCs w:val="24"/>
        </w:rPr>
        <w:t xml:space="preserve">discloses </w:t>
      </w:r>
      <w:r w:rsidR="001A4233">
        <w:rPr>
          <w:rFonts w:eastAsia="Times New Roman" w:cs="Times New Roman"/>
          <w:b/>
          <w:szCs w:val="24"/>
        </w:rPr>
        <w:t>health information</w:t>
      </w:r>
      <w:r w:rsidRPr="0004686D">
        <w:rPr>
          <w:rFonts w:eastAsia="Times New Roman" w:cs="Times New Roman"/>
          <w:b/>
          <w:szCs w:val="24"/>
        </w:rPr>
        <w:t xml:space="preserve"> without an individual’s consent, and the disclosure was authorized by law, the disclosure must be documented in </w:t>
      </w:r>
      <w:r w:rsidRPr="00E74AEC">
        <w:rPr>
          <w:rFonts w:eastAsia="Times New Roman" w:cs="Times New Roman"/>
          <w:b/>
          <w:szCs w:val="24"/>
        </w:rPr>
        <w:t>the individual’s health record.</w:t>
      </w:r>
    </w:p>
    <w:p w:rsidR="00952CC2" w:rsidRPr="00E74AEC" w:rsidRDefault="00E74AEC"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sidRPr="00E74AEC">
        <w:rPr>
          <w:rFonts w:ascii="Times New Roman" w:hAnsi="Times New Roman" w:cs="Times New Roman"/>
          <w:b/>
          <w:sz w:val="24"/>
          <w:szCs w:val="24"/>
        </w:rPr>
        <w:t>Patient Request for Release</w:t>
      </w:r>
      <w:r>
        <w:rPr>
          <w:rFonts w:ascii="Times New Roman" w:hAnsi="Times New Roman" w:cs="Times New Roman"/>
          <w:b/>
          <w:sz w:val="24"/>
          <w:szCs w:val="24"/>
        </w:rPr>
        <w:t xml:space="preserve"> to Provider</w:t>
      </w:r>
    </w:p>
    <w:p w:rsidR="00E74AEC" w:rsidRPr="00E74AEC" w:rsidRDefault="00E74AEC" w:rsidP="00E74AEC">
      <w:pPr>
        <w:spacing w:after="240"/>
        <w:ind w:left="720"/>
        <w:jc w:val="both"/>
        <w:rPr>
          <w:rFonts w:cs="Times New Roman"/>
          <w:szCs w:val="24"/>
        </w:rPr>
      </w:pPr>
      <w:r>
        <w:rPr>
          <w:rFonts w:cs="Times New Roman"/>
          <w:szCs w:val="24"/>
        </w:rPr>
        <w:lastRenderedPageBreak/>
        <w:t>If a patient requests in writing that [</w:t>
      </w:r>
      <w:r w:rsidRPr="00E74AEC">
        <w:rPr>
          <w:rFonts w:cs="Times New Roman"/>
          <w:i/>
          <w:szCs w:val="24"/>
        </w:rPr>
        <w:t>Organization</w:t>
      </w:r>
      <w:r>
        <w:rPr>
          <w:rFonts w:cs="Times New Roman"/>
          <w:szCs w:val="24"/>
        </w:rPr>
        <w:t>] release the patient’s health records to another provider, or a pertinent portion or summary of their health record, [</w:t>
      </w:r>
      <w:r w:rsidRPr="00E74AEC">
        <w:rPr>
          <w:rFonts w:cs="Times New Roman"/>
          <w:i/>
          <w:szCs w:val="24"/>
        </w:rPr>
        <w:t>Organization</w:t>
      </w:r>
      <w:r>
        <w:rPr>
          <w:rFonts w:cs="Times New Roman"/>
          <w:szCs w:val="24"/>
        </w:rPr>
        <w:t>] must</w:t>
      </w:r>
      <w:r w:rsidR="00A733B9">
        <w:rPr>
          <w:rFonts w:cs="Times New Roman"/>
          <w:szCs w:val="24"/>
        </w:rPr>
        <w:t xml:space="preserve"> promptly</w:t>
      </w:r>
      <w:r>
        <w:rPr>
          <w:rFonts w:cs="Times New Roman"/>
          <w:szCs w:val="24"/>
        </w:rPr>
        <w:t xml:space="preserve"> comply with this request.  The written request must include the name of the provider to whom the health record is to be furnished.  [</w:t>
      </w:r>
      <w:r w:rsidRPr="00E74AEC">
        <w:rPr>
          <w:rFonts w:cs="Times New Roman"/>
          <w:i/>
          <w:szCs w:val="24"/>
        </w:rPr>
        <w:t>Organization</w:t>
      </w:r>
      <w:r>
        <w:rPr>
          <w:rFonts w:cs="Times New Roman"/>
          <w:szCs w:val="24"/>
        </w:rPr>
        <w:t>] may reta</w:t>
      </w:r>
      <w:r w:rsidR="00F731F0">
        <w:rPr>
          <w:rFonts w:cs="Times New Roman"/>
          <w:szCs w:val="24"/>
        </w:rPr>
        <w:t>in a copy of the health records.</w:t>
      </w:r>
    </w:p>
    <w:p w:rsidR="0004686D" w:rsidRPr="0004686D" w:rsidRDefault="0004686D"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sidRPr="0004686D">
        <w:rPr>
          <w:rFonts w:ascii="Times New Roman" w:hAnsi="Times New Roman" w:cs="Times New Roman"/>
          <w:b/>
          <w:sz w:val="24"/>
          <w:szCs w:val="24"/>
        </w:rPr>
        <w:t>Duration of Consent</w:t>
      </w:r>
    </w:p>
    <w:p w:rsidR="004D76E9" w:rsidRPr="004D76E9" w:rsidRDefault="004D76E9" w:rsidP="0004686D">
      <w:pPr>
        <w:spacing w:after="240"/>
        <w:ind w:left="720"/>
        <w:jc w:val="both"/>
        <w:rPr>
          <w:rFonts w:cs="Times New Roman"/>
          <w:b/>
          <w:szCs w:val="24"/>
        </w:rPr>
      </w:pPr>
      <w:r w:rsidRPr="004D76E9">
        <w:rPr>
          <w:rFonts w:cs="Times New Roman"/>
          <w:b/>
          <w:szCs w:val="24"/>
        </w:rPr>
        <w:t xml:space="preserve">[GPM Note:  </w:t>
      </w:r>
      <w:r>
        <w:rPr>
          <w:rFonts w:cs="Times New Roman"/>
          <w:b/>
          <w:szCs w:val="24"/>
        </w:rPr>
        <w:t xml:space="preserve">Minnesota law allows providers to </w:t>
      </w:r>
      <w:r w:rsidR="004356CE">
        <w:rPr>
          <w:rFonts w:cs="Times New Roman"/>
          <w:b/>
          <w:szCs w:val="24"/>
        </w:rPr>
        <w:t>specify</w:t>
      </w:r>
      <w:r w:rsidR="00D26F19">
        <w:rPr>
          <w:rFonts w:cs="Times New Roman"/>
          <w:b/>
          <w:szCs w:val="24"/>
        </w:rPr>
        <w:t xml:space="preserve"> </w:t>
      </w:r>
      <w:r w:rsidR="004356CE">
        <w:rPr>
          <w:rFonts w:cs="Times New Roman"/>
          <w:b/>
          <w:szCs w:val="24"/>
        </w:rPr>
        <w:t>the</w:t>
      </w:r>
      <w:r w:rsidR="00A733B9">
        <w:rPr>
          <w:rFonts w:cs="Times New Roman"/>
          <w:b/>
          <w:szCs w:val="24"/>
        </w:rPr>
        <w:t xml:space="preserve"> duration of consent </w:t>
      </w:r>
      <w:r w:rsidR="00D26F19">
        <w:rPr>
          <w:rFonts w:cs="Times New Roman"/>
          <w:b/>
          <w:szCs w:val="24"/>
        </w:rPr>
        <w:t>in their consent form</w:t>
      </w:r>
      <w:r w:rsidR="004356CE">
        <w:rPr>
          <w:rFonts w:cs="Times New Roman"/>
          <w:b/>
          <w:szCs w:val="24"/>
        </w:rPr>
        <w:t>.  Providers can select any time period of their choosing; a period of longer than one year is permissible</w:t>
      </w:r>
      <w:r w:rsidR="00D26F19">
        <w:rPr>
          <w:rFonts w:cs="Times New Roman"/>
          <w:b/>
          <w:szCs w:val="24"/>
        </w:rPr>
        <w:t xml:space="preserve">.  </w:t>
      </w:r>
      <w:r w:rsidR="004356CE">
        <w:rPr>
          <w:rFonts w:cs="Times New Roman"/>
          <w:b/>
          <w:szCs w:val="24"/>
        </w:rPr>
        <w:t>However</w:t>
      </w:r>
      <w:r w:rsidR="00D26F19">
        <w:rPr>
          <w:rFonts w:cs="Times New Roman"/>
          <w:b/>
          <w:szCs w:val="24"/>
        </w:rPr>
        <w:t>, it is generally best practice to obtain patient consent on an annual basis.  The provision</w:t>
      </w:r>
      <w:r w:rsidR="00A733B9">
        <w:rPr>
          <w:rFonts w:cs="Times New Roman"/>
          <w:b/>
          <w:szCs w:val="24"/>
        </w:rPr>
        <w:t xml:space="preserve"> below is drafted to reflect this recommended practice</w:t>
      </w:r>
      <w:r w:rsidR="00D26F19">
        <w:rPr>
          <w:rFonts w:cs="Times New Roman"/>
          <w:b/>
          <w:szCs w:val="24"/>
        </w:rPr>
        <w:t>, but can be revised if an organization is comfortable having their consent forms be valid for a period longer than one year.]</w:t>
      </w:r>
    </w:p>
    <w:p w:rsidR="0004686D" w:rsidRPr="0004686D" w:rsidRDefault="0004686D" w:rsidP="0004686D">
      <w:pPr>
        <w:spacing w:after="240"/>
        <w:ind w:left="720"/>
        <w:jc w:val="both"/>
        <w:rPr>
          <w:rFonts w:cs="Times New Roman"/>
          <w:szCs w:val="24"/>
        </w:rPr>
      </w:pPr>
      <w:r w:rsidRPr="0004686D">
        <w:rPr>
          <w:rFonts w:cs="Times New Roman"/>
          <w:szCs w:val="24"/>
        </w:rPr>
        <w:t>Except</w:t>
      </w:r>
      <w:r>
        <w:rPr>
          <w:rFonts w:cs="Times New Roman"/>
          <w:szCs w:val="24"/>
        </w:rPr>
        <w:t xml:space="preserve"> as described in this policy, </w:t>
      </w:r>
      <w:r w:rsidRPr="0004686D">
        <w:rPr>
          <w:rFonts w:cs="Times New Roman"/>
          <w:szCs w:val="24"/>
        </w:rPr>
        <w:t>consent is valid for:</w:t>
      </w:r>
    </w:p>
    <w:p w:rsidR="0004686D" w:rsidRPr="0004686D" w:rsidRDefault="0004686D" w:rsidP="0004686D">
      <w:pPr>
        <w:pStyle w:val="ListParagraph"/>
        <w:numPr>
          <w:ilvl w:val="2"/>
          <w:numId w:val="1"/>
        </w:numPr>
        <w:spacing w:after="240" w:line="240" w:lineRule="auto"/>
        <w:contextualSpacing w:val="0"/>
        <w:jc w:val="both"/>
        <w:rPr>
          <w:rFonts w:ascii="Times New Roman" w:hAnsi="Times New Roman" w:cs="Times New Roman"/>
          <w:sz w:val="24"/>
          <w:szCs w:val="24"/>
        </w:rPr>
      </w:pPr>
      <w:r w:rsidRPr="0004686D">
        <w:rPr>
          <w:rFonts w:ascii="Times New Roman" w:hAnsi="Times New Roman" w:cs="Times New Roman"/>
          <w:sz w:val="24"/>
          <w:szCs w:val="24"/>
        </w:rPr>
        <w:t>One year, for the specific purposes permitted under the law; or</w:t>
      </w:r>
    </w:p>
    <w:p w:rsidR="0004686D" w:rsidRPr="0004686D" w:rsidRDefault="0004686D" w:rsidP="0004686D">
      <w:pPr>
        <w:pStyle w:val="ListParagraph"/>
        <w:numPr>
          <w:ilvl w:val="2"/>
          <w:numId w:val="1"/>
        </w:numPr>
        <w:spacing w:after="240" w:line="240" w:lineRule="auto"/>
        <w:contextualSpacing w:val="0"/>
        <w:jc w:val="both"/>
        <w:rPr>
          <w:rFonts w:ascii="Times New Roman" w:hAnsi="Times New Roman" w:cs="Times New Roman"/>
          <w:sz w:val="24"/>
          <w:szCs w:val="24"/>
        </w:rPr>
      </w:pPr>
      <w:r w:rsidRPr="0004686D">
        <w:rPr>
          <w:rFonts w:ascii="Times New Roman" w:hAnsi="Times New Roman" w:cs="Times New Roman"/>
          <w:sz w:val="24"/>
          <w:szCs w:val="24"/>
        </w:rPr>
        <w:t>A period less than one year as specified in the consent; or</w:t>
      </w:r>
    </w:p>
    <w:p w:rsidR="0004686D" w:rsidRPr="0004686D" w:rsidRDefault="0004686D" w:rsidP="0004686D">
      <w:pPr>
        <w:pStyle w:val="ListParagraph"/>
        <w:numPr>
          <w:ilvl w:val="2"/>
          <w:numId w:val="1"/>
        </w:numPr>
        <w:spacing w:after="240" w:line="240" w:lineRule="auto"/>
        <w:contextualSpacing w:val="0"/>
        <w:jc w:val="both"/>
        <w:rPr>
          <w:rFonts w:ascii="Times New Roman" w:hAnsi="Times New Roman" w:cs="Times New Roman"/>
          <w:sz w:val="24"/>
          <w:szCs w:val="24"/>
        </w:rPr>
      </w:pPr>
      <w:r w:rsidRPr="0004686D">
        <w:rPr>
          <w:rFonts w:ascii="Times New Roman" w:hAnsi="Times New Roman" w:cs="Times New Roman"/>
          <w:sz w:val="24"/>
          <w:szCs w:val="24"/>
        </w:rPr>
        <w:t>A different period provided by law.</w:t>
      </w:r>
      <w:r w:rsidRPr="0004686D">
        <w:rPr>
          <w:rFonts w:ascii="Times New Roman" w:hAnsi="Times New Roman" w:cs="Times New Roman"/>
          <w:b/>
          <w:sz w:val="24"/>
          <w:szCs w:val="24"/>
        </w:rPr>
        <w:t xml:space="preserve"> </w:t>
      </w:r>
    </w:p>
    <w:p w:rsidR="0004686D" w:rsidRPr="0004686D" w:rsidRDefault="0004686D"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sidRPr="0004686D">
        <w:rPr>
          <w:rFonts w:ascii="Times New Roman" w:hAnsi="Times New Roman" w:cs="Times New Roman"/>
          <w:b/>
          <w:sz w:val="24"/>
          <w:szCs w:val="24"/>
        </w:rPr>
        <w:t>Consent That Does Not Expire After One Year</w:t>
      </w:r>
    </w:p>
    <w:p w:rsidR="0004686D" w:rsidRPr="0004686D" w:rsidRDefault="0004686D" w:rsidP="0004686D">
      <w:pPr>
        <w:spacing w:after="240"/>
        <w:ind w:left="720"/>
        <w:jc w:val="both"/>
        <w:rPr>
          <w:rFonts w:eastAsia="Times New Roman" w:cs="Times New Roman"/>
          <w:szCs w:val="24"/>
        </w:rPr>
      </w:pPr>
      <w:r w:rsidRPr="0004686D">
        <w:rPr>
          <w:rFonts w:eastAsia="Times New Roman" w:cs="Times New Roman"/>
          <w:szCs w:val="24"/>
        </w:rPr>
        <w:t xml:space="preserve">The consent does not expire after one year if an individual explicitly gives informed consent to the disclosure of </w:t>
      </w:r>
      <w:r w:rsidR="001A4233">
        <w:rPr>
          <w:rFonts w:eastAsia="Times New Roman" w:cs="Times New Roman"/>
          <w:szCs w:val="24"/>
        </w:rPr>
        <w:t>health information</w:t>
      </w:r>
      <w:r w:rsidRPr="0004686D">
        <w:rPr>
          <w:rFonts w:eastAsia="Times New Roman" w:cs="Times New Roman"/>
          <w:szCs w:val="24"/>
        </w:rPr>
        <w:t xml:space="preserve"> for the following purposes and subject to the following restrictions:  </w:t>
      </w:r>
    </w:p>
    <w:p w:rsidR="0004686D" w:rsidRPr="0004686D" w:rsidRDefault="0004686D" w:rsidP="0004686D">
      <w:pPr>
        <w:pStyle w:val="ListParagraph"/>
        <w:numPr>
          <w:ilvl w:val="2"/>
          <w:numId w:val="1"/>
        </w:numPr>
        <w:spacing w:after="240" w:line="240" w:lineRule="auto"/>
        <w:contextualSpacing w:val="0"/>
        <w:jc w:val="both"/>
        <w:rPr>
          <w:rFonts w:ascii="Times New Roman" w:eastAsia="Times New Roman" w:hAnsi="Times New Roman" w:cs="Times New Roman"/>
          <w:sz w:val="24"/>
          <w:szCs w:val="24"/>
        </w:rPr>
      </w:pPr>
      <w:r w:rsidRPr="0004686D">
        <w:rPr>
          <w:rFonts w:ascii="Times New Roman" w:eastAsia="Times New Roman" w:hAnsi="Times New Roman" w:cs="Times New Roman"/>
          <w:sz w:val="24"/>
          <w:szCs w:val="24"/>
        </w:rPr>
        <w:t xml:space="preserve">The disclosure of </w:t>
      </w:r>
      <w:r w:rsidR="001A4233">
        <w:rPr>
          <w:rFonts w:ascii="Times New Roman" w:eastAsia="Times New Roman" w:hAnsi="Times New Roman" w:cs="Times New Roman"/>
          <w:sz w:val="24"/>
          <w:szCs w:val="24"/>
        </w:rPr>
        <w:t>health information</w:t>
      </w:r>
      <w:r w:rsidRPr="0004686D">
        <w:rPr>
          <w:rFonts w:ascii="Times New Roman" w:eastAsia="Times New Roman" w:hAnsi="Times New Roman" w:cs="Times New Roman"/>
          <w:sz w:val="24"/>
          <w:szCs w:val="24"/>
        </w:rPr>
        <w:t xml:space="preserve"> to a provider who is being advised or consulted in connection with the</w:t>
      </w:r>
      <w:r w:rsidR="00D26F19">
        <w:rPr>
          <w:rFonts w:ascii="Times New Roman" w:eastAsia="Times New Roman" w:hAnsi="Times New Roman" w:cs="Times New Roman"/>
          <w:sz w:val="24"/>
          <w:szCs w:val="24"/>
        </w:rPr>
        <w:t xml:space="preserve"> releasing provider’s</w:t>
      </w:r>
      <w:r w:rsidRPr="0004686D">
        <w:rPr>
          <w:rFonts w:ascii="Times New Roman" w:eastAsia="Times New Roman" w:hAnsi="Times New Roman" w:cs="Times New Roman"/>
          <w:sz w:val="24"/>
          <w:szCs w:val="24"/>
        </w:rPr>
        <w:t xml:space="preserve"> current treatment of the individual; or</w:t>
      </w:r>
    </w:p>
    <w:p w:rsidR="0004686D" w:rsidRPr="0004686D" w:rsidRDefault="0004686D" w:rsidP="0004686D">
      <w:pPr>
        <w:pStyle w:val="ListParagraph"/>
        <w:numPr>
          <w:ilvl w:val="2"/>
          <w:numId w:val="1"/>
        </w:numPr>
        <w:spacing w:after="240" w:line="240" w:lineRule="auto"/>
        <w:contextualSpacing w:val="0"/>
        <w:jc w:val="both"/>
        <w:rPr>
          <w:rFonts w:ascii="Times New Roman" w:eastAsia="Times New Roman" w:hAnsi="Times New Roman" w:cs="Times New Roman"/>
          <w:sz w:val="24"/>
          <w:szCs w:val="24"/>
        </w:rPr>
      </w:pPr>
      <w:r w:rsidRPr="0004686D">
        <w:rPr>
          <w:rFonts w:ascii="Times New Roman" w:eastAsia="Times New Roman" w:hAnsi="Times New Roman" w:cs="Times New Roman"/>
          <w:sz w:val="24"/>
          <w:szCs w:val="24"/>
        </w:rPr>
        <w:t xml:space="preserve">The disclosure of </w:t>
      </w:r>
      <w:r w:rsidR="001A4233">
        <w:rPr>
          <w:rFonts w:ascii="Times New Roman" w:eastAsia="Times New Roman" w:hAnsi="Times New Roman" w:cs="Times New Roman"/>
          <w:sz w:val="24"/>
          <w:szCs w:val="24"/>
        </w:rPr>
        <w:t>health information</w:t>
      </w:r>
      <w:r w:rsidRPr="0004686D">
        <w:rPr>
          <w:rFonts w:ascii="Times New Roman" w:eastAsia="Times New Roman" w:hAnsi="Times New Roman" w:cs="Times New Roman"/>
          <w:sz w:val="24"/>
          <w:szCs w:val="24"/>
        </w:rPr>
        <w:t xml:space="preserve"> to an accident and health insurer, health service plan corporation, health maintenance organization, or third-party administrator for the purposes of payment of claims, fraud investigation, or quality of care review and studies, provided that:</w:t>
      </w:r>
    </w:p>
    <w:p w:rsidR="0004686D" w:rsidRPr="0004686D" w:rsidRDefault="0004686D" w:rsidP="0004686D">
      <w:pPr>
        <w:pStyle w:val="ListParagraph"/>
        <w:numPr>
          <w:ilvl w:val="3"/>
          <w:numId w:val="1"/>
        </w:numPr>
        <w:spacing w:after="240" w:line="240" w:lineRule="auto"/>
        <w:contextualSpacing w:val="0"/>
        <w:jc w:val="both"/>
        <w:rPr>
          <w:rFonts w:ascii="Times New Roman" w:eastAsia="Times New Roman" w:hAnsi="Times New Roman" w:cs="Times New Roman"/>
          <w:sz w:val="24"/>
          <w:szCs w:val="24"/>
        </w:rPr>
      </w:pPr>
      <w:r w:rsidRPr="0004686D">
        <w:rPr>
          <w:rFonts w:ascii="Times New Roman" w:eastAsia="Times New Roman" w:hAnsi="Times New Roman" w:cs="Times New Roman"/>
          <w:sz w:val="24"/>
          <w:szCs w:val="24"/>
        </w:rPr>
        <w:t xml:space="preserve">The disclosure of the </w:t>
      </w:r>
      <w:r w:rsidR="001A4233">
        <w:rPr>
          <w:rFonts w:ascii="Times New Roman" w:eastAsia="Times New Roman" w:hAnsi="Times New Roman" w:cs="Times New Roman"/>
          <w:sz w:val="24"/>
          <w:szCs w:val="24"/>
        </w:rPr>
        <w:t>health information</w:t>
      </w:r>
      <w:r w:rsidRPr="0004686D">
        <w:rPr>
          <w:rFonts w:ascii="Times New Roman" w:eastAsia="Times New Roman" w:hAnsi="Times New Roman" w:cs="Times New Roman"/>
          <w:sz w:val="24"/>
          <w:szCs w:val="24"/>
        </w:rPr>
        <w:t xml:space="preserve"> complies with the Minnesota Insurance Fair Information Reporting Act at Minnesota Statutes § 72A.49 to 72A.505;</w:t>
      </w:r>
    </w:p>
    <w:p w:rsidR="0004686D" w:rsidRPr="0004686D" w:rsidRDefault="0004686D" w:rsidP="0004686D">
      <w:pPr>
        <w:pStyle w:val="ListParagraph"/>
        <w:numPr>
          <w:ilvl w:val="3"/>
          <w:numId w:val="1"/>
        </w:numPr>
        <w:spacing w:after="240" w:line="240" w:lineRule="auto"/>
        <w:contextualSpacing w:val="0"/>
        <w:jc w:val="both"/>
        <w:rPr>
          <w:rFonts w:ascii="Times New Roman" w:eastAsia="Times New Roman" w:hAnsi="Times New Roman" w:cs="Times New Roman"/>
          <w:sz w:val="24"/>
          <w:szCs w:val="24"/>
        </w:rPr>
      </w:pPr>
      <w:r w:rsidRPr="0004686D">
        <w:rPr>
          <w:rFonts w:ascii="Times New Roman" w:eastAsia="Times New Roman" w:hAnsi="Times New Roman" w:cs="Times New Roman"/>
          <w:sz w:val="24"/>
          <w:szCs w:val="24"/>
        </w:rPr>
        <w:t xml:space="preserve">The further use or release of the </w:t>
      </w:r>
      <w:r w:rsidR="001A4233">
        <w:rPr>
          <w:rFonts w:ascii="Times New Roman" w:eastAsia="Times New Roman" w:hAnsi="Times New Roman" w:cs="Times New Roman"/>
          <w:sz w:val="24"/>
          <w:szCs w:val="24"/>
        </w:rPr>
        <w:t>health information</w:t>
      </w:r>
      <w:r w:rsidRPr="0004686D">
        <w:rPr>
          <w:rFonts w:ascii="Times New Roman" w:eastAsia="Times New Roman" w:hAnsi="Times New Roman" w:cs="Times New Roman"/>
          <w:sz w:val="24"/>
          <w:szCs w:val="24"/>
        </w:rPr>
        <w:t xml:space="preserve"> to a person other than the individual who is the subject of the data is prohibited without the individual’s consent; and </w:t>
      </w:r>
    </w:p>
    <w:p w:rsidR="0004686D" w:rsidRPr="0004686D" w:rsidRDefault="0004686D" w:rsidP="0004686D">
      <w:pPr>
        <w:pStyle w:val="ListParagraph"/>
        <w:numPr>
          <w:ilvl w:val="3"/>
          <w:numId w:val="1"/>
        </w:numPr>
        <w:spacing w:after="240" w:line="240" w:lineRule="auto"/>
        <w:contextualSpacing w:val="0"/>
        <w:jc w:val="both"/>
        <w:rPr>
          <w:rFonts w:ascii="Times New Roman" w:eastAsia="Times New Roman" w:hAnsi="Times New Roman" w:cs="Times New Roman"/>
          <w:sz w:val="24"/>
          <w:szCs w:val="24"/>
        </w:rPr>
      </w:pPr>
      <w:r w:rsidRPr="0004686D">
        <w:rPr>
          <w:rFonts w:ascii="Times New Roman" w:eastAsia="Times New Roman" w:hAnsi="Times New Roman" w:cs="Times New Roman"/>
          <w:sz w:val="24"/>
          <w:szCs w:val="24"/>
        </w:rPr>
        <w:t xml:space="preserve">The recipient of the PHI establishes adequate safeguards to protect the </w:t>
      </w:r>
      <w:r w:rsidR="001A4233">
        <w:rPr>
          <w:rFonts w:ascii="Times New Roman" w:eastAsia="Times New Roman" w:hAnsi="Times New Roman" w:cs="Times New Roman"/>
          <w:sz w:val="24"/>
          <w:szCs w:val="24"/>
        </w:rPr>
        <w:t>health information</w:t>
      </w:r>
      <w:r w:rsidRPr="0004686D">
        <w:rPr>
          <w:rFonts w:ascii="Times New Roman" w:eastAsia="Times New Roman" w:hAnsi="Times New Roman" w:cs="Times New Roman"/>
          <w:sz w:val="24"/>
          <w:szCs w:val="24"/>
        </w:rPr>
        <w:t xml:space="preserve"> from unauthorized disclosure, including a procedure for removal or destruction of information that identifies the patient.</w:t>
      </w:r>
    </w:p>
    <w:p w:rsidR="0004686D" w:rsidRPr="0004686D" w:rsidRDefault="0004686D"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sidRPr="0004686D">
        <w:rPr>
          <w:rFonts w:ascii="Times New Roman" w:hAnsi="Times New Roman" w:cs="Times New Roman"/>
          <w:b/>
          <w:sz w:val="24"/>
          <w:szCs w:val="24"/>
        </w:rPr>
        <w:lastRenderedPageBreak/>
        <w:t xml:space="preserve">Disclosure of </w:t>
      </w:r>
      <w:r w:rsidR="00296EC7">
        <w:rPr>
          <w:rFonts w:ascii="Times New Roman" w:hAnsi="Times New Roman" w:cs="Times New Roman"/>
          <w:b/>
          <w:sz w:val="24"/>
          <w:szCs w:val="24"/>
        </w:rPr>
        <w:t>Health I</w:t>
      </w:r>
      <w:r w:rsidR="001A4233">
        <w:rPr>
          <w:rFonts w:ascii="Times New Roman" w:hAnsi="Times New Roman" w:cs="Times New Roman"/>
          <w:b/>
          <w:sz w:val="24"/>
          <w:szCs w:val="24"/>
        </w:rPr>
        <w:t>nformation</w:t>
      </w:r>
      <w:r w:rsidRPr="0004686D">
        <w:rPr>
          <w:rFonts w:ascii="Times New Roman" w:hAnsi="Times New Roman" w:cs="Times New Roman"/>
          <w:b/>
          <w:sz w:val="24"/>
          <w:szCs w:val="24"/>
        </w:rPr>
        <w:t xml:space="preserve"> for Medical or Scientific Research</w:t>
      </w:r>
    </w:p>
    <w:p w:rsidR="0004686D" w:rsidRPr="00D971D4" w:rsidRDefault="00FC2D98" w:rsidP="0004686D">
      <w:pPr>
        <w:spacing w:after="240"/>
        <w:ind w:left="720"/>
        <w:jc w:val="both"/>
        <w:rPr>
          <w:rFonts w:cs="Times New Roman"/>
          <w:szCs w:val="24"/>
        </w:rPr>
      </w:pPr>
      <w:r>
        <w:rPr>
          <w:rFonts w:cs="Times New Roman"/>
          <w:szCs w:val="24"/>
        </w:rPr>
        <w:t xml:space="preserve">When disclosing information for research purposes, </w:t>
      </w:r>
      <w:r w:rsidR="0004686D" w:rsidRPr="0004686D">
        <w:rPr>
          <w:rFonts w:cs="Times New Roman"/>
          <w:i/>
          <w:szCs w:val="24"/>
        </w:rPr>
        <w:t xml:space="preserve">[Organization] </w:t>
      </w:r>
      <w:r w:rsidRPr="00FC2D98">
        <w:rPr>
          <w:rFonts w:cs="Times New Roman"/>
          <w:szCs w:val="24"/>
        </w:rPr>
        <w:t xml:space="preserve">and its staff </w:t>
      </w:r>
      <w:r>
        <w:rPr>
          <w:rFonts w:cs="Times New Roman"/>
          <w:szCs w:val="24"/>
        </w:rPr>
        <w:t>should</w:t>
      </w:r>
      <w:r w:rsidRPr="00FC2D98">
        <w:rPr>
          <w:rFonts w:cs="Times New Roman"/>
          <w:szCs w:val="24"/>
        </w:rPr>
        <w:t xml:space="preserve"> </w:t>
      </w:r>
      <w:r w:rsidRPr="00D971D4">
        <w:rPr>
          <w:rFonts w:cs="Times New Roman"/>
          <w:szCs w:val="24"/>
        </w:rPr>
        <w:t>follow policy number [Enter], Using and Disclosing Information for Research Purposes</w:t>
      </w:r>
      <w:r w:rsidR="0004686D" w:rsidRPr="00D971D4">
        <w:rPr>
          <w:rFonts w:cs="Times New Roman"/>
          <w:szCs w:val="24"/>
        </w:rPr>
        <w:t>.</w:t>
      </w:r>
    </w:p>
    <w:p w:rsidR="0004686D" w:rsidRPr="00D971D4" w:rsidRDefault="00296EC7" w:rsidP="0004686D">
      <w:pPr>
        <w:pStyle w:val="ListParagraph"/>
        <w:numPr>
          <w:ilvl w:val="1"/>
          <w:numId w:val="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Record Locator S</w:t>
      </w:r>
      <w:r w:rsidR="00952CC2" w:rsidRPr="00D971D4">
        <w:rPr>
          <w:rFonts w:ascii="Times New Roman" w:hAnsi="Times New Roman" w:cs="Times New Roman"/>
          <w:b/>
          <w:sz w:val="24"/>
          <w:szCs w:val="24"/>
        </w:rPr>
        <w:t>ervice</w:t>
      </w:r>
    </w:p>
    <w:p w:rsidR="000D3EED" w:rsidRDefault="007653B1" w:rsidP="007653B1">
      <w:pPr>
        <w:spacing w:after="240"/>
        <w:ind w:left="360"/>
        <w:jc w:val="both"/>
        <w:rPr>
          <w:rFonts w:cs="Times New Roman"/>
          <w:szCs w:val="24"/>
        </w:rPr>
      </w:pPr>
      <w:r w:rsidRPr="00D971D4">
        <w:rPr>
          <w:rFonts w:cs="Times New Roman"/>
          <w:szCs w:val="24"/>
        </w:rPr>
        <w:t>[</w:t>
      </w:r>
      <w:r w:rsidRPr="00D971D4">
        <w:rPr>
          <w:rFonts w:cs="Times New Roman"/>
          <w:i/>
          <w:szCs w:val="24"/>
        </w:rPr>
        <w:t>Org</w:t>
      </w:r>
      <w:r w:rsidRPr="007653B1">
        <w:rPr>
          <w:rFonts w:cs="Times New Roman"/>
          <w:i/>
          <w:szCs w:val="24"/>
        </w:rPr>
        <w:t>anization</w:t>
      </w:r>
      <w:r w:rsidRPr="007653B1">
        <w:rPr>
          <w:rFonts w:cs="Times New Roman"/>
          <w:szCs w:val="24"/>
        </w:rPr>
        <w:t>] may participat</w:t>
      </w:r>
      <w:r w:rsidR="00C530D8">
        <w:rPr>
          <w:rFonts w:cs="Times New Roman"/>
          <w:szCs w:val="24"/>
        </w:rPr>
        <w:t>e in a record locator service</w:t>
      </w:r>
      <w:r w:rsidR="004659E7">
        <w:rPr>
          <w:rFonts w:cs="Times New Roman"/>
          <w:szCs w:val="24"/>
        </w:rPr>
        <w:t xml:space="preserve"> (“RLS”), which is an </w:t>
      </w:r>
      <w:r w:rsidR="004659E7" w:rsidRPr="004659E7">
        <w:rPr>
          <w:rFonts w:cs="Times New Roman"/>
          <w:szCs w:val="24"/>
        </w:rPr>
        <w:t>electronic index of patient information that directs providers in a health information exchange to the location of patient records</w:t>
      </w:r>
      <w:r w:rsidR="004659E7">
        <w:rPr>
          <w:rFonts w:cs="Times New Roman"/>
          <w:szCs w:val="24"/>
        </w:rPr>
        <w:t>.</w:t>
      </w:r>
      <w:r w:rsidR="00C530D8">
        <w:rPr>
          <w:rFonts w:cs="Times New Roman"/>
          <w:szCs w:val="24"/>
        </w:rPr>
        <w:t xml:space="preserve"> </w:t>
      </w:r>
    </w:p>
    <w:p w:rsidR="000D3EED" w:rsidRPr="000D3EED" w:rsidRDefault="000D3EED" w:rsidP="000D3EED">
      <w:pPr>
        <w:pStyle w:val="ListParagraph"/>
        <w:numPr>
          <w:ilvl w:val="0"/>
          <w:numId w:val="4"/>
        </w:numPr>
        <w:spacing w:after="240"/>
        <w:jc w:val="both"/>
        <w:rPr>
          <w:rFonts w:ascii="Times New Roman" w:hAnsi="Times New Roman" w:cs="Times New Roman"/>
          <w:sz w:val="24"/>
          <w:szCs w:val="24"/>
          <w:u w:val="single"/>
        </w:rPr>
      </w:pPr>
      <w:r w:rsidRPr="000D3EED">
        <w:rPr>
          <w:rFonts w:ascii="Times New Roman" w:hAnsi="Times New Roman" w:cs="Times New Roman"/>
          <w:sz w:val="24"/>
          <w:szCs w:val="24"/>
          <w:u w:val="single"/>
        </w:rPr>
        <w:t>Releasing Information</w:t>
      </w:r>
    </w:p>
    <w:p w:rsidR="000D3EED" w:rsidRDefault="000D3EED" w:rsidP="000D3EED">
      <w:pPr>
        <w:spacing w:after="240"/>
        <w:ind w:left="360"/>
        <w:jc w:val="both"/>
        <w:rPr>
          <w:rFonts w:cs="Times New Roman"/>
          <w:szCs w:val="24"/>
        </w:rPr>
      </w:pPr>
      <w:r w:rsidRPr="000D3EED">
        <w:rPr>
          <w:rFonts w:cs="Times New Roman"/>
          <w:szCs w:val="24"/>
        </w:rPr>
        <w:t>[</w:t>
      </w:r>
      <w:r w:rsidRPr="00DC3716">
        <w:rPr>
          <w:rFonts w:cs="Times New Roman"/>
          <w:i/>
          <w:szCs w:val="24"/>
        </w:rPr>
        <w:t>Organization</w:t>
      </w:r>
      <w:r w:rsidRPr="000D3EED">
        <w:rPr>
          <w:rFonts w:cs="Times New Roman"/>
          <w:szCs w:val="24"/>
        </w:rPr>
        <w:t>] may release patient information, including the location of an individual’s health records, to an RLS without prior consent from the patient, provided each patient has had the opportunity to opt out of the RLS. [</w:t>
      </w:r>
      <w:r w:rsidRPr="00DC3716">
        <w:rPr>
          <w:rFonts w:cs="Times New Roman"/>
          <w:i/>
          <w:szCs w:val="24"/>
        </w:rPr>
        <w:t>Organization</w:t>
      </w:r>
      <w:r w:rsidRPr="000D3EED">
        <w:rPr>
          <w:rFonts w:cs="Times New Roman"/>
          <w:szCs w:val="24"/>
        </w:rPr>
        <w:t>] allows patients to opt out via its Not</w:t>
      </w:r>
      <w:r w:rsidR="00911572">
        <w:rPr>
          <w:rFonts w:cs="Times New Roman"/>
          <w:szCs w:val="24"/>
        </w:rPr>
        <w:t>ice of Privacy Practices</w:t>
      </w:r>
      <w:r w:rsidR="00885BF1">
        <w:rPr>
          <w:rFonts w:cs="Times New Roman"/>
          <w:szCs w:val="24"/>
        </w:rPr>
        <w:t xml:space="preserve"> and template consent form</w:t>
      </w:r>
      <w:r w:rsidR="00911572">
        <w:rPr>
          <w:rFonts w:cs="Times New Roman"/>
          <w:szCs w:val="24"/>
        </w:rPr>
        <w:t>.</w:t>
      </w:r>
    </w:p>
    <w:p w:rsidR="000D3EED" w:rsidRPr="000D3EED" w:rsidRDefault="000D3EED" w:rsidP="000D3EED">
      <w:pPr>
        <w:spacing w:after="240"/>
        <w:ind w:left="360"/>
        <w:jc w:val="both"/>
        <w:rPr>
          <w:rFonts w:cs="Times New Roman"/>
          <w:szCs w:val="24"/>
        </w:rPr>
      </w:pPr>
      <w:r w:rsidRPr="000D3EED">
        <w:rPr>
          <w:rFonts w:cs="Times New Roman"/>
          <w:szCs w:val="24"/>
        </w:rPr>
        <w:t>If a patient has elected to be excluded from the RLS, [</w:t>
      </w:r>
      <w:r w:rsidRPr="00DC3716">
        <w:rPr>
          <w:rFonts w:cs="Times New Roman"/>
          <w:i/>
          <w:szCs w:val="24"/>
        </w:rPr>
        <w:t>Organization</w:t>
      </w:r>
      <w:r w:rsidRPr="000D3EED">
        <w:rPr>
          <w:rFonts w:cs="Times New Roman"/>
          <w:szCs w:val="24"/>
        </w:rPr>
        <w:t>] and its staff must obtain patient consent prior to releasing any information to an RLS.</w:t>
      </w:r>
    </w:p>
    <w:p w:rsidR="000D3EED" w:rsidRPr="000D3EED" w:rsidRDefault="000D3EED" w:rsidP="000D3EED">
      <w:pPr>
        <w:pStyle w:val="ListParagraph"/>
        <w:numPr>
          <w:ilvl w:val="0"/>
          <w:numId w:val="4"/>
        </w:numPr>
        <w:spacing w:after="240"/>
        <w:jc w:val="both"/>
        <w:rPr>
          <w:rFonts w:ascii="Times New Roman" w:hAnsi="Times New Roman" w:cs="Times New Roman"/>
          <w:sz w:val="24"/>
          <w:szCs w:val="24"/>
          <w:u w:val="single"/>
        </w:rPr>
      </w:pPr>
      <w:r w:rsidRPr="000D3EED">
        <w:rPr>
          <w:rFonts w:ascii="Times New Roman" w:hAnsi="Times New Roman" w:cs="Times New Roman"/>
          <w:sz w:val="24"/>
          <w:szCs w:val="24"/>
          <w:u w:val="single"/>
        </w:rPr>
        <w:t>Obtaining Information</w:t>
      </w:r>
    </w:p>
    <w:p w:rsidR="00885BF1" w:rsidRDefault="005C7D05" w:rsidP="00911572">
      <w:pPr>
        <w:spacing w:after="240"/>
        <w:ind w:left="360"/>
        <w:jc w:val="both"/>
        <w:rPr>
          <w:rFonts w:cs="Times New Roman"/>
          <w:szCs w:val="24"/>
        </w:rPr>
      </w:pPr>
      <w:r w:rsidRPr="005C7D05">
        <w:rPr>
          <w:rFonts w:cs="Times New Roman"/>
          <w:szCs w:val="24"/>
        </w:rPr>
        <w:t xml:space="preserve">If </w:t>
      </w:r>
      <w:r>
        <w:rPr>
          <w:rFonts w:cs="Times New Roman"/>
          <w:szCs w:val="24"/>
        </w:rPr>
        <w:t>[</w:t>
      </w:r>
      <w:r w:rsidR="000D3EED" w:rsidRPr="000D3EED">
        <w:rPr>
          <w:rFonts w:cs="Times New Roman"/>
          <w:i/>
          <w:szCs w:val="24"/>
        </w:rPr>
        <w:t>Organization</w:t>
      </w:r>
      <w:r w:rsidRPr="005C7D05">
        <w:rPr>
          <w:rFonts w:cs="Times New Roman"/>
          <w:szCs w:val="24"/>
        </w:rPr>
        <w:t>]</w:t>
      </w:r>
      <w:r>
        <w:rPr>
          <w:rFonts w:cs="Times New Roman"/>
          <w:i/>
          <w:szCs w:val="24"/>
        </w:rPr>
        <w:t xml:space="preserve"> </w:t>
      </w:r>
      <w:r>
        <w:rPr>
          <w:rFonts w:cs="Times New Roman"/>
          <w:szCs w:val="24"/>
        </w:rPr>
        <w:t>participates in a health information exchange that uses a</w:t>
      </w:r>
      <w:r w:rsidR="00911572">
        <w:rPr>
          <w:rFonts w:cs="Times New Roman"/>
          <w:szCs w:val="24"/>
        </w:rPr>
        <w:t>n RLS, [</w:t>
      </w:r>
      <w:r w:rsidR="00911572" w:rsidRPr="00DC3716">
        <w:rPr>
          <w:rFonts w:cs="Times New Roman"/>
          <w:i/>
          <w:szCs w:val="24"/>
        </w:rPr>
        <w:t>Organization</w:t>
      </w:r>
      <w:r w:rsidR="00911572">
        <w:rPr>
          <w:rFonts w:cs="Times New Roman"/>
          <w:szCs w:val="24"/>
        </w:rPr>
        <w:t>] generally must obtain patient consent to access patient information and information about the location of the patient’s health records from the RLS.  However, [</w:t>
      </w:r>
      <w:r w:rsidR="00911572" w:rsidRPr="00911572">
        <w:rPr>
          <w:rFonts w:cs="Times New Roman"/>
          <w:i/>
          <w:szCs w:val="24"/>
        </w:rPr>
        <w:t>Organization</w:t>
      </w:r>
      <w:r w:rsidR="00911572">
        <w:rPr>
          <w:rFonts w:cs="Times New Roman"/>
          <w:szCs w:val="24"/>
        </w:rPr>
        <w:t>] may access such information wi</w:t>
      </w:r>
      <w:r w:rsidR="007439EE">
        <w:rPr>
          <w:rFonts w:cs="Times New Roman"/>
          <w:szCs w:val="24"/>
        </w:rPr>
        <w:t>thout patient consent during a Medical E</w:t>
      </w:r>
      <w:r w:rsidR="00911572">
        <w:rPr>
          <w:rFonts w:cs="Times New Roman"/>
          <w:szCs w:val="24"/>
        </w:rPr>
        <w:t>mergency.</w:t>
      </w:r>
      <w:r w:rsidR="00DC3716">
        <w:rPr>
          <w:rFonts w:cs="Times New Roman"/>
          <w:szCs w:val="24"/>
        </w:rPr>
        <w:t xml:space="preserve">  </w:t>
      </w:r>
    </w:p>
    <w:p w:rsidR="007653B1" w:rsidRDefault="00DC3716" w:rsidP="00911572">
      <w:pPr>
        <w:spacing w:after="240"/>
        <w:ind w:left="360"/>
        <w:jc w:val="both"/>
        <w:rPr>
          <w:rFonts w:cs="Times New Roman"/>
          <w:szCs w:val="24"/>
        </w:rPr>
      </w:pPr>
      <w:r>
        <w:rPr>
          <w:rFonts w:cs="Times New Roman"/>
          <w:szCs w:val="24"/>
        </w:rPr>
        <w:t>If a patient does consent to such access the consent does not expire, but the patient may revoke the consent at any time by providing written notice of the revocation to [</w:t>
      </w:r>
      <w:r w:rsidRPr="00DC3716">
        <w:rPr>
          <w:rFonts w:cs="Times New Roman"/>
          <w:i/>
          <w:szCs w:val="24"/>
        </w:rPr>
        <w:t>Organization</w:t>
      </w:r>
      <w:r>
        <w:rPr>
          <w:rFonts w:cs="Times New Roman"/>
          <w:szCs w:val="24"/>
        </w:rPr>
        <w:t>].</w:t>
      </w:r>
    </w:p>
    <w:p w:rsidR="00911572" w:rsidRPr="00911572" w:rsidRDefault="00911572" w:rsidP="00911572">
      <w:pPr>
        <w:pStyle w:val="ListParagraph"/>
        <w:numPr>
          <w:ilvl w:val="0"/>
          <w:numId w:val="4"/>
        </w:numPr>
        <w:spacing w:after="240"/>
        <w:jc w:val="both"/>
        <w:rPr>
          <w:rFonts w:cs="Times New Roman"/>
          <w:szCs w:val="24"/>
          <w:u w:val="single"/>
        </w:rPr>
      </w:pPr>
      <w:r w:rsidRPr="00911572">
        <w:rPr>
          <w:rFonts w:ascii="Times New Roman" w:hAnsi="Times New Roman" w:cs="Times New Roman"/>
          <w:sz w:val="24"/>
          <w:szCs w:val="24"/>
          <w:u w:val="single"/>
        </w:rPr>
        <w:t>Excluding Patient Information from the RLS</w:t>
      </w:r>
    </w:p>
    <w:p w:rsidR="00911572" w:rsidRPr="00296EC7" w:rsidRDefault="00911572" w:rsidP="00296EC7">
      <w:pPr>
        <w:spacing w:after="240"/>
        <w:ind w:left="360"/>
        <w:jc w:val="both"/>
        <w:rPr>
          <w:rFonts w:cs="Times New Roman"/>
          <w:szCs w:val="24"/>
        </w:rPr>
      </w:pPr>
      <w:r>
        <w:rPr>
          <w:rFonts w:cs="Times New Roman"/>
          <w:szCs w:val="24"/>
        </w:rPr>
        <w:t>[</w:t>
      </w:r>
      <w:r w:rsidRPr="00911572">
        <w:rPr>
          <w:rFonts w:cs="Times New Roman"/>
          <w:i/>
          <w:szCs w:val="24"/>
        </w:rPr>
        <w:t>Organization</w:t>
      </w:r>
      <w:r>
        <w:rPr>
          <w:rFonts w:cs="Times New Roman"/>
          <w:szCs w:val="24"/>
        </w:rPr>
        <w:t xml:space="preserve">]’s template consent form includes a check-box option that allows a patient to exclude all of the patient’s information from the record locator service.  </w:t>
      </w:r>
      <w:r w:rsidR="00DC3716">
        <w:rPr>
          <w:rFonts w:cs="Times New Roman"/>
          <w:szCs w:val="24"/>
        </w:rPr>
        <w:t>If [</w:t>
      </w:r>
      <w:r w:rsidR="00DC3716" w:rsidRPr="00DC3716">
        <w:rPr>
          <w:rFonts w:cs="Times New Roman"/>
          <w:i/>
          <w:szCs w:val="24"/>
        </w:rPr>
        <w:t>Organization</w:t>
      </w:r>
      <w:r w:rsidR="00DC3716">
        <w:rPr>
          <w:rFonts w:cs="Times New Roman"/>
          <w:szCs w:val="24"/>
        </w:rPr>
        <w:t>] receives a request to exclude all of the patient’s information from the RLS, [</w:t>
      </w:r>
      <w:r w:rsidR="00DC3716" w:rsidRPr="00DC3716">
        <w:rPr>
          <w:rFonts w:cs="Times New Roman"/>
          <w:i/>
          <w:szCs w:val="24"/>
        </w:rPr>
        <w:t>Organization</w:t>
      </w:r>
      <w:r w:rsidR="00DC3716">
        <w:rPr>
          <w:rFonts w:cs="Times New Roman"/>
          <w:szCs w:val="24"/>
        </w:rPr>
        <w:t>] and its st</w:t>
      </w:r>
      <w:r w:rsidR="00DC3716" w:rsidRPr="00296EC7">
        <w:rPr>
          <w:rFonts w:cs="Times New Roman"/>
          <w:szCs w:val="24"/>
        </w:rPr>
        <w:t xml:space="preserve">aff must honor this request and may not release information to the RLS.  </w:t>
      </w:r>
      <w:r w:rsidR="008C776D">
        <w:rPr>
          <w:rFonts w:cs="Times New Roman"/>
          <w:szCs w:val="24"/>
        </w:rPr>
        <w:t xml:space="preserve">In addition, if patient information was already released </w:t>
      </w:r>
      <w:r w:rsidR="00DC3716" w:rsidRPr="00296EC7">
        <w:rPr>
          <w:rFonts w:cs="Times New Roman"/>
          <w:szCs w:val="24"/>
        </w:rPr>
        <w:t>[</w:t>
      </w:r>
      <w:r w:rsidR="00DC3716" w:rsidRPr="00296EC7">
        <w:rPr>
          <w:rFonts w:cs="Times New Roman"/>
          <w:i/>
          <w:szCs w:val="24"/>
        </w:rPr>
        <w:t>Organization</w:t>
      </w:r>
      <w:r w:rsidR="00DC3716" w:rsidRPr="00296EC7">
        <w:rPr>
          <w:rFonts w:cs="Times New Roman"/>
          <w:szCs w:val="24"/>
        </w:rPr>
        <w:t xml:space="preserve">] must work </w:t>
      </w:r>
      <w:r w:rsidR="00885BF1" w:rsidRPr="00296EC7">
        <w:rPr>
          <w:rFonts w:cs="Times New Roman"/>
          <w:szCs w:val="24"/>
        </w:rPr>
        <w:t>with the entity operating the R</w:t>
      </w:r>
      <w:r w:rsidR="00DC3716" w:rsidRPr="00296EC7">
        <w:rPr>
          <w:rFonts w:cs="Times New Roman"/>
          <w:szCs w:val="24"/>
        </w:rPr>
        <w:t>LS to have the patient’s information removed from the RLS.</w:t>
      </w:r>
    </w:p>
    <w:p w:rsidR="00952CC2" w:rsidRPr="00296EC7" w:rsidRDefault="00952CC2" w:rsidP="00296EC7">
      <w:pPr>
        <w:pStyle w:val="ListParagraph"/>
        <w:numPr>
          <w:ilvl w:val="1"/>
          <w:numId w:val="1"/>
        </w:numPr>
        <w:spacing w:after="240" w:line="240" w:lineRule="auto"/>
        <w:contextualSpacing w:val="0"/>
        <w:jc w:val="both"/>
        <w:rPr>
          <w:rFonts w:ascii="Times New Roman" w:hAnsi="Times New Roman" w:cs="Times New Roman"/>
          <w:b/>
          <w:sz w:val="24"/>
          <w:szCs w:val="24"/>
        </w:rPr>
      </w:pPr>
      <w:r w:rsidRPr="00296EC7">
        <w:rPr>
          <w:rFonts w:ascii="Times New Roman" w:hAnsi="Times New Roman" w:cs="Times New Roman"/>
          <w:b/>
          <w:sz w:val="24"/>
          <w:szCs w:val="24"/>
        </w:rPr>
        <w:t>[</w:t>
      </w:r>
      <w:r w:rsidRPr="00296EC7">
        <w:rPr>
          <w:rFonts w:ascii="Times New Roman" w:hAnsi="Times New Roman" w:cs="Times New Roman"/>
          <w:b/>
          <w:i/>
          <w:sz w:val="24"/>
          <w:szCs w:val="24"/>
        </w:rPr>
        <w:t>Organization</w:t>
      </w:r>
      <w:r w:rsidR="00296EC7">
        <w:rPr>
          <w:rFonts w:ascii="Times New Roman" w:hAnsi="Times New Roman" w:cs="Times New Roman"/>
          <w:b/>
          <w:sz w:val="24"/>
          <w:szCs w:val="24"/>
        </w:rPr>
        <w:t>] Warranties Regarding Consents, Requests, and D</w:t>
      </w:r>
      <w:r w:rsidRPr="00296EC7">
        <w:rPr>
          <w:rFonts w:ascii="Times New Roman" w:hAnsi="Times New Roman" w:cs="Times New Roman"/>
          <w:b/>
          <w:sz w:val="24"/>
          <w:szCs w:val="24"/>
        </w:rPr>
        <w:t>isclosures</w:t>
      </w:r>
    </w:p>
    <w:p w:rsidR="00D971D4" w:rsidRDefault="00D971D4" w:rsidP="00296EC7">
      <w:pPr>
        <w:spacing w:after="240"/>
        <w:ind w:left="360"/>
        <w:jc w:val="both"/>
        <w:rPr>
          <w:rFonts w:cs="Times New Roman"/>
          <w:szCs w:val="24"/>
        </w:rPr>
      </w:pPr>
      <w:r w:rsidRPr="00296EC7">
        <w:rPr>
          <w:rFonts w:cs="Times New Roman"/>
          <w:szCs w:val="24"/>
        </w:rPr>
        <w:br/>
        <w:t>When [</w:t>
      </w:r>
      <w:r w:rsidRPr="00296EC7">
        <w:rPr>
          <w:rFonts w:cs="Times New Roman"/>
          <w:i/>
          <w:szCs w:val="24"/>
        </w:rPr>
        <w:t>Organization</w:t>
      </w:r>
      <w:r w:rsidRPr="00296EC7">
        <w:rPr>
          <w:rFonts w:cs="Times New Roman"/>
          <w:szCs w:val="24"/>
        </w:rPr>
        <w:t>] and its workforce request health records on the basis that the patient provided signed a</w:t>
      </w:r>
      <w:r>
        <w:rPr>
          <w:rFonts w:cs="Times New Roman"/>
          <w:szCs w:val="24"/>
        </w:rPr>
        <w:t>nd dated consent to the release, [</w:t>
      </w:r>
      <w:r w:rsidRPr="00D971D4">
        <w:rPr>
          <w:rFonts w:cs="Times New Roman"/>
          <w:i/>
          <w:szCs w:val="24"/>
        </w:rPr>
        <w:t>Organization</w:t>
      </w:r>
      <w:r>
        <w:rPr>
          <w:rFonts w:cs="Times New Roman"/>
          <w:szCs w:val="24"/>
        </w:rPr>
        <w:t>] and its workforce warrant that the consent:</w:t>
      </w:r>
    </w:p>
    <w:p w:rsidR="00D971D4" w:rsidRPr="00D971D4" w:rsidRDefault="00D971D4" w:rsidP="00D971D4">
      <w:pPr>
        <w:pStyle w:val="ListParagraph"/>
        <w:numPr>
          <w:ilvl w:val="0"/>
          <w:numId w:val="7"/>
        </w:numPr>
        <w:spacing w:after="240"/>
        <w:jc w:val="both"/>
        <w:rPr>
          <w:rFonts w:ascii="Times New Roman" w:hAnsi="Times New Roman" w:cs="Times New Roman"/>
          <w:sz w:val="24"/>
          <w:szCs w:val="24"/>
        </w:rPr>
      </w:pPr>
      <w:r w:rsidRPr="00D971D4">
        <w:rPr>
          <w:rFonts w:ascii="Times New Roman" w:hAnsi="Times New Roman" w:cs="Times New Roman"/>
          <w:sz w:val="24"/>
          <w:szCs w:val="24"/>
        </w:rPr>
        <w:lastRenderedPageBreak/>
        <w:t>Contains no information that is known to be false;</w:t>
      </w:r>
    </w:p>
    <w:p w:rsidR="00D971D4" w:rsidRPr="00D971D4" w:rsidRDefault="00D971D4" w:rsidP="00D971D4">
      <w:pPr>
        <w:pStyle w:val="ListParagraph"/>
        <w:numPr>
          <w:ilvl w:val="0"/>
          <w:numId w:val="7"/>
        </w:numPr>
        <w:spacing w:after="240"/>
        <w:jc w:val="both"/>
        <w:rPr>
          <w:rFonts w:ascii="Times New Roman" w:hAnsi="Times New Roman" w:cs="Times New Roman"/>
          <w:sz w:val="24"/>
          <w:szCs w:val="24"/>
        </w:rPr>
      </w:pPr>
      <w:r w:rsidRPr="00D971D4">
        <w:rPr>
          <w:rFonts w:ascii="Times New Roman" w:hAnsi="Times New Roman" w:cs="Times New Roman"/>
          <w:sz w:val="24"/>
          <w:szCs w:val="24"/>
        </w:rPr>
        <w:t>Accurately state</w:t>
      </w:r>
      <w:r w:rsidR="00296EC7">
        <w:rPr>
          <w:rFonts w:ascii="Times New Roman" w:hAnsi="Times New Roman" w:cs="Times New Roman"/>
          <w:sz w:val="24"/>
          <w:szCs w:val="24"/>
        </w:rPr>
        <w:t>s</w:t>
      </w:r>
      <w:r w:rsidRPr="00D971D4">
        <w:rPr>
          <w:rFonts w:ascii="Times New Roman" w:hAnsi="Times New Roman" w:cs="Times New Roman"/>
          <w:sz w:val="24"/>
          <w:szCs w:val="24"/>
        </w:rPr>
        <w:t xml:space="preserve"> the patient’s desire to have health records disclosed or that there is specific authorization in law; and</w:t>
      </w:r>
    </w:p>
    <w:p w:rsidR="00D971D4" w:rsidRDefault="00D971D4" w:rsidP="00D971D4">
      <w:pPr>
        <w:pStyle w:val="ListParagraph"/>
        <w:numPr>
          <w:ilvl w:val="0"/>
          <w:numId w:val="7"/>
        </w:numPr>
        <w:spacing w:after="240"/>
        <w:jc w:val="both"/>
        <w:rPr>
          <w:rFonts w:ascii="Times New Roman" w:hAnsi="Times New Roman" w:cs="Times New Roman"/>
          <w:sz w:val="24"/>
          <w:szCs w:val="24"/>
        </w:rPr>
      </w:pPr>
      <w:r w:rsidRPr="00D971D4">
        <w:rPr>
          <w:rFonts w:ascii="Times New Roman" w:hAnsi="Times New Roman" w:cs="Times New Roman"/>
          <w:sz w:val="24"/>
          <w:szCs w:val="24"/>
        </w:rPr>
        <w:t>Does not exceed any limits imposed by the patient</w:t>
      </w:r>
      <w:r>
        <w:rPr>
          <w:rFonts w:ascii="Times New Roman" w:hAnsi="Times New Roman" w:cs="Times New Roman"/>
          <w:sz w:val="24"/>
          <w:szCs w:val="24"/>
        </w:rPr>
        <w:t>.</w:t>
      </w:r>
    </w:p>
    <w:p w:rsidR="00D971D4" w:rsidRDefault="00D971D4" w:rsidP="00D971D4">
      <w:pPr>
        <w:spacing w:after="240"/>
        <w:ind w:left="360"/>
        <w:jc w:val="both"/>
        <w:rPr>
          <w:rFonts w:cs="Times New Roman"/>
          <w:szCs w:val="24"/>
        </w:rPr>
      </w:pPr>
      <w:r>
        <w:rPr>
          <w:rFonts w:cs="Times New Roman"/>
          <w:szCs w:val="24"/>
        </w:rPr>
        <w:t xml:space="preserve">When </w:t>
      </w:r>
      <w:r w:rsidRPr="00D971D4">
        <w:rPr>
          <w:rFonts w:cs="Times New Roman"/>
          <w:szCs w:val="24"/>
        </w:rPr>
        <w:t>[</w:t>
      </w:r>
      <w:r w:rsidRPr="00D971D4">
        <w:rPr>
          <w:rFonts w:cs="Times New Roman"/>
          <w:i/>
          <w:szCs w:val="24"/>
        </w:rPr>
        <w:t>Organization</w:t>
      </w:r>
      <w:r w:rsidRPr="00D971D4">
        <w:rPr>
          <w:rFonts w:cs="Times New Roman"/>
          <w:szCs w:val="24"/>
        </w:rPr>
        <w:t>] and its workforce</w:t>
      </w:r>
      <w:r>
        <w:rPr>
          <w:rFonts w:cs="Times New Roman"/>
          <w:szCs w:val="24"/>
        </w:rPr>
        <w:t xml:space="preserve"> disclose health records, [</w:t>
      </w:r>
      <w:r w:rsidRPr="00296EC7">
        <w:rPr>
          <w:rFonts w:cs="Times New Roman"/>
          <w:i/>
          <w:szCs w:val="24"/>
        </w:rPr>
        <w:t>Organization</w:t>
      </w:r>
      <w:r>
        <w:rPr>
          <w:rFonts w:cs="Times New Roman"/>
          <w:szCs w:val="24"/>
        </w:rPr>
        <w:t>] and its workforce warrant that it:</w:t>
      </w:r>
    </w:p>
    <w:p w:rsidR="00D971D4" w:rsidRPr="00296EC7" w:rsidRDefault="00296EC7" w:rsidP="00D971D4">
      <w:pPr>
        <w:pStyle w:val="ListParagraph"/>
        <w:numPr>
          <w:ilvl w:val="0"/>
          <w:numId w:val="8"/>
        </w:numPr>
        <w:spacing w:after="240"/>
        <w:jc w:val="both"/>
        <w:rPr>
          <w:rFonts w:ascii="Times New Roman" w:hAnsi="Times New Roman" w:cs="Times New Roman"/>
          <w:sz w:val="24"/>
          <w:szCs w:val="24"/>
        </w:rPr>
      </w:pPr>
      <w:r w:rsidRPr="00296EC7">
        <w:rPr>
          <w:rFonts w:ascii="Times New Roman" w:hAnsi="Times New Roman" w:cs="Times New Roman"/>
          <w:sz w:val="24"/>
          <w:szCs w:val="24"/>
        </w:rPr>
        <w:t>Has complied with the requirements of the Minnesota Health Records Act regarding disclosure of health records;</w:t>
      </w:r>
    </w:p>
    <w:p w:rsidR="00296EC7" w:rsidRPr="00296EC7" w:rsidRDefault="00296EC7" w:rsidP="00D971D4">
      <w:pPr>
        <w:pStyle w:val="ListParagraph"/>
        <w:numPr>
          <w:ilvl w:val="0"/>
          <w:numId w:val="8"/>
        </w:numPr>
        <w:spacing w:after="240"/>
        <w:jc w:val="both"/>
        <w:rPr>
          <w:rFonts w:ascii="Times New Roman" w:hAnsi="Times New Roman" w:cs="Times New Roman"/>
          <w:sz w:val="24"/>
          <w:szCs w:val="24"/>
        </w:rPr>
      </w:pPr>
      <w:r w:rsidRPr="00296EC7">
        <w:rPr>
          <w:rFonts w:ascii="Times New Roman" w:hAnsi="Times New Roman" w:cs="Times New Roman"/>
          <w:sz w:val="24"/>
          <w:szCs w:val="24"/>
        </w:rPr>
        <w:t>Knows of no information related to the request that is false; and</w:t>
      </w:r>
    </w:p>
    <w:p w:rsidR="00296EC7" w:rsidRDefault="00296EC7" w:rsidP="00D971D4">
      <w:pPr>
        <w:pStyle w:val="ListParagraph"/>
        <w:numPr>
          <w:ilvl w:val="0"/>
          <w:numId w:val="8"/>
        </w:numPr>
        <w:spacing w:after="240"/>
        <w:jc w:val="both"/>
        <w:rPr>
          <w:rFonts w:ascii="Times New Roman" w:hAnsi="Times New Roman" w:cs="Times New Roman"/>
          <w:sz w:val="24"/>
          <w:szCs w:val="24"/>
        </w:rPr>
      </w:pPr>
      <w:r w:rsidRPr="00296EC7">
        <w:rPr>
          <w:rFonts w:ascii="Times New Roman" w:hAnsi="Times New Roman" w:cs="Times New Roman"/>
          <w:sz w:val="24"/>
          <w:szCs w:val="24"/>
        </w:rPr>
        <w:t>Has complied with the limits set by the patient in the consent.</w:t>
      </w:r>
    </w:p>
    <w:p w:rsidR="00296EC7" w:rsidRPr="00296EC7" w:rsidRDefault="00296EC7" w:rsidP="00296EC7">
      <w:pPr>
        <w:pStyle w:val="ListParagraph"/>
        <w:spacing w:after="240"/>
        <w:ind w:left="1170"/>
        <w:jc w:val="both"/>
        <w:rPr>
          <w:rFonts w:ascii="Times New Roman" w:hAnsi="Times New Roman" w:cs="Times New Roman"/>
          <w:sz w:val="24"/>
          <w:szCs w:val="24"/>
        </w:rPr>
      </w:pPr>
    </w:p>
    <w:p w:rsidR="00885BF1" w:rsidRPr="00FD7242" w:rsidRDefault="008C776D" w:rsidP="00E9206E">
      <w:pPr>
        <w:pStyle w:val="ListParagraph"/>
        <w:numPr>
          <w:ilvl w:val="1"/>
          <w:numId w:val="1"/>
        </w:numPr>
        <w:spacing w:after="24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Documentation of R</w:t>
      </w:r>
      <w:r w:rsidR="00952CC2" w:rsidRPr="00FD7242">
        <w:rPr>
          <w:rFonts w:ascii="Times New Roman" w:hAnsi="Times New Roman" w:cs="Times New Roman"/>
          <w:b/>
          <w:sz w:val="24"/>
          <w:szCs w:val="24"/>
        </w:rPr>
        <w:t>elease</w:t>
      </w:r>
    </w:p>
    <w:p w:rsidR="00FD7242" w:rsidRDefault="00E9206E" w:rsidP="00952CC2">
      <w:pPr>
        <w:spacing w:after="240"/>
        <w:ind w:left="360"/>
        <w:jc w:val="both"/>
        <w:rPr>
          <w:rFonts w:cs="Times New Roman"/>
          <w:szCs w:val="24"/>
        </w:rPr>
      </w:pPr>
      <w:r>
        <w:rPr>
          <w:rFonts w:cs="Times New Roman"/>
          <w:szCs w:val="24"/>
        </w:rPr>
        <w:t>In addition to the documentation requirements specifically identified in this policy and other [</w:t>
      </w:r>
      <w:r w:rsidRPr="00E9206E">
        <w:rPr>
          <w:rFonts w:cs="Times New Roman"/>
          <w:i/>
          <w:szCs w:val="24"/>
        </w:rPr>
        <w:t>Organization</w:t>
      </w:r>
      <w:r>
        <w:rPr>
          <w:rFonts w:cs="Times New Roman"/>
          <w:szCs w:val="24"/>
        </w:rPr>
        <w:t>] policies,</w:t>
      </w:r>
      <w:r w:rsidR="00885BF1" w:rsidRPr="00885BF1">
        <w:rPr>
          <w:rFonts w:cs="Times New Roman"/>
          <w:szCs w:val="24"/>
        </w:rPr>
        <w:t xml:space="preserve"> [</w:t>
      </w:r>
      <w:r w:rsidR="00885BF1" w:rsidRPr="00885BF1">
        <w:rPr>
          <w:rFonts w:cs="Times New Roman"/>
          <w:i/>
          <w:szCs w:val="24"/>
        </w:rPr>
        <w:t>Organization</w:t>
      </w:r>
      <w:r w:rsidR="00885BF1" w:rsidRPr="00885BF1">
        <w:rPr>
          <w:rFonts w:cs="Times New Roman"/>
          <w:szCs w:val="24"/>
        </w:rPr>
        <w:t>]</w:t>
      </w:r>
      <w:r w:rsidR="00885BF1">
        <w:rPr>
          <w:rFonts w:cs="Times New Roman"/>
          <w:szCs w:val="24"/>
        </w:rPr>
        <w:t xml:space="preserve"> </w:t>
      </w:r>
      <w:r w:rsidR="00FD7242">
        <w:rPr>
          <w:rFonts w:cs="Times New Roman"/>
          <w:szCs w:val="24"/>
        </w:rPr>
        <w:t>must:</w:t>
      </w:r>
    </w:p>
    <w:p w:rsidR="00FD7242" w:rsidRDefault="00FD7242" w:rsidP="00FD7242">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When releasing</w:t>
      </w:r>
      <w:r w:rsidR="00885BF1" w:rsidRPr="00FD7242">
        <w:rPr>
          <w:rFonts w:ascii="Times New Roman" w:hAnsi="Times New Roman" w:cs="Times New Roman"/>
          <w:sz w:val="24"/>
          <w:szCs w:val="24"/>
        </w:rPr>
        <w:t xml:space="preserve"> health records without patie</w:t>
      </w:r>
      <w:r w:rsidR="00E9206E" w:rsidRPr="00FD7242">
        <w:rPr>
          <w:rFonts w:ascii="Times New Roman" w:hAnsi="Times New Roman" w:cs="Times New Roman"/>
          <w:sz w:val="24"/>
          <w:szCs w:val="24"/>
        </w:rPr>
        <w:t>nt consent as authorized by law</w:t>
      </w:r>
      <w:r>
        <w:rPr>
          <w:rFonts w:ascii="Times New Roman" w:hAnsi="Times New Roman" w:cs="Times New Roman"/>
          <w:sz w:val="24"/>
          <w:szCs w:val="24"/>
        </w:rPr>
        <w:t>,</w:t>
      </w:r>
      <w:r w:rsidR="00885BF1" w:rsidRPr="00FD7242">
        <w:rPr>
          <w:rFonts w:ascii="Times New Roman" w:hAnsi="Times New Roman" w:cs="Times New Roman"/>
          <w:sz w:val="24"/>
          <w:szCs w:val="24"/>
        </w:rPr>
        <w:t xml:space="preserve"> document the release in the patient</w:t>
      </w:r>
      <w:r>
        <w:rPr>
          <w:rFonts w:ascii="Times New Roman" w:hAnsi="Times New Roman" w:cs="Times New Roman"/>
          <w:sz w:val="24"/>
          <w:szCs w:val="24"/>
        </w:rPr>
        <w:t>’s health record; and</w:t>
      </w:r>
    </w:p>
    <w:p w:rsidR="00FD7242" w:rsidRDefault="00FD7242" w:rsidP="00FD7242">
      <w:pPr>
        <w:pStyle w:val="ListParagraph"/>
        <w:spacing w:after="240"/>
        <w:ind w:left="1080"/>
        <w:jc w:val="both"/>
        <w:rPr>
          <w:rFonts w:ascii="Times New Roman" w:hAnsi="Times New Roman" w:cs="Times New Roman"/>
          <w:sz w:val="24"/>
          <w:szCs w:val="24"/>
        </w:rPr>
      </w:pPr>
    </w:p>
    <w:p w:rsidR="00FD7242" w:rsidRDefault="00FD7242" w:rsidP="00FD7242">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W</w:t>
      </w:r>
      <w:r w:rsidR="00885BF1" w:rsidRPr="00FD7242">
        <w:rPr>
          <w:rFonts w:ascii="Times New Roman" w:hAnsi="Times New Roman" w:cs="Times New Roman"/>
          <w:sz w:val="24"/>
          <w:szCs w:val="24"/>
        </w:rPr>
        <w:t xml:space="preserve">hen </w:t>
      </w:r>
      <w:r>
        <w:rPr>
          <w:rFonts w:ascii="Times New Roman" w:hAnsi="Times New Roman" w:cs="Times New Roman"/>
          <w:sz w:val="24"/>
          <w:szCs w:val="24"/>
        </w:rPr>
        <w:t>releasing</w:t>
      </w:r>
      <w:r w:rsidR="00885BF1" w:rsidRPr="00FD7242">
        <w:rPr>
          <w:rFonts w:ascii="Times New Roman" w:hAnsi="Times New Roman" w:cs="Times New Roman"/>
          <w:sz w:val="24"/>
          <w:szCs w:val="24"/>
        </w:rPr>
        <w:t xml:space="preserve"> mental health records to law enforcement according to Minn. Stat. § 144.294, subdivision 2, document</w:t>
      </w:r>
      <w:r>
        <w:rPr>
          <w:rFonts w:ascii="Times New Roman" w:hAnsi="Times New Roman" w:cs="Times New Roman"/>
          <w:sz w:val="24"/>
          <w:szCs w:val="24"/>
        </w:rPr>
        <w:t xml:space="preserve"> the release in the patient’s health record along with:</w:t>
      </w:r>
    </w:p>
    <w:p w:rsidR="00FD7242" w:rsidRDefault="00FD7242" w:rsidP="00FD7242">
      <w:pPr>
        <w:pStyle w:val="ListParagraph"/>
        <w:numPr>
          <w:ilvl w:val="1"/>
          <w:numId w:val="6"/>
        </w:numPr>
        <w:spacing w:after="240"/>
        <w:jc w:val="both"/>
        <w:rPr>
          <w:rFonts w:ascii="Times New Roman" w:hAnsi="Times New Roman" w:cs="Times New Roman"/>
          <w:sz w:val="24"/>
          <w:szCs w:val="24"/>
        </w:rPr>
      </w:pPr>
      <w:r>
        <w:rPr>
          <w:rFonts w:ascii="Times New Roman" w:hAnsi="Times New Roman" w:cs="Times New Roman"/>
          <w:sz w:val="24"/>
          <w:szCs w:val="24"/>
        </w:rPr>
        <w:t>The</w:t>
      </w:r>
      <w:r w:rsidR="00885BF1" w:rsidRPr="00FD7242">
        <w:rPr>
          <w:rFonts w:ascii="Times New Roman" w:hAnsi="Times New Roman" w:cs="Times New Roman"/>
          <w:sz w:val="24"/>
          <w:szCs w:val="24"/>
        </w:rPr>
        <w:t xml:space="preserve"> date and c</w:t>
      </w:r>
      <w:r>
        <w:rPr>
          <w:rFonts w:ascii="Times New Roman" w:hAnsi="Times New Roman" w:cs="Times New Roman"/>
          <w:sz w:val="24"/>
          <w:szCs w:val="24"/>
        </w:rPr>
        <w:t>ircumstances for the disclosure;</w:t>
      </w:r>
    </w:p>
    <w:p w:rsidR="00FD7242" w:rsidRDefault="00FD7242" w:rsidP="00FD7242">
      <w:pPr>
        <w:pStyle w:val="ListParagraph"/>
        <w:numPr>
          <w:ilvl w:val="1"/>
          <w:numId w:val="6"/>
        </w:numPr>
        <w:spacing w:after="240"/>
        <w:jc w:val="both"/>
        <w:rPr>
          <w:rFonts w:ascii="Times New Roman" w:hAnsi="Times New Roman" w:cs="Times New Roman"/>
          <w:sz w:val="24"/>
          <w:szCs w:val="24"/>
        </w:rPr>
      </w:pPr>
      <w:r>
        <w:rPr>
          <w:rFonts w:ascii="Times New Roman" w:hAnsi="Times New Roman" w:cs="Times New Roman"/>
          <w:sz w:val="24"/>
          <w:szCs w:val="24"/>
        </w:rPr>
        <w:t>T</w:t>
      </w:r>
      <w:r w:rsidR="00885BF1" w:rsidRPr="00FD7242">
        <w:rPr>
          <w:rFonts w:ascii="Times New Roman" w:hAnsi="Times New Roman" w:cs="Times New Roman"/>
          <w:sz w:val="24"/>
          <w:szCs w:val="24"/>
        </w:rPr>
        <w:t>he person or agenc</w:t>
      </w:r>
      <w:r>
        <w:rPr>
          <w:rFonts w:ascii="Times New Roman" w:hAnsi="Times New Roman" w:cs="Times New Roman"/>
          <w:sz w:val="24"/>
          <w:szCs w:val="24"/>
        </w:rPr>
        <w:t xml:space="preserve">y to whom the release was made; </w:t>
      </w:r>
      <w:r w:rsidR="00885BF1" w:rsidRPr="00FD7242">
        <w:rPr>
          <w:rFonts w:ascii="Times New Roman" w:hAnsi="Times New Roman" w:cs="Times New Roman"/>
          <w:sz w:val="24"/>
          <w:szCs w:val="24"/>
        </w:rPr>
        <w:t xml:space="preserve">and </w:t>
      </w:r>
    </w:p>
    <w:p w:rsidR="0015127F" w:rsidRPr="00FD7242" w:rsidRDefault="00FD7242" w:rsidP="00FD7242">
      <w:pPr>
        <w:pStyle w:val="ListParagraph"/>
        <w:numPr>
          <w:ilvl w:val="1"/>
          <w:numId w:val="6"/>
        </w:numPr>
        <w:spacing w:after="240"/>
        <w:jc w:val="both"/>
        <w:rPr>
          <w:rFonts w:ascii="Times New Roman" w:hAnsi="Times New Roman" w:cs="Times New Roman"/>
          <w:sz w:val="24"/>
          <w:szCs w:val="24"/>
        </w:rPr>
      </w:pPr>
      <w:r>
        <w:rPr>
          <w:rFonts w:ascii="Times New Roman" w:hAnsi="Times New Roman" w:cs="Times New Roman"/>
          <w:sz w:val="24"/>
          <w:szCs w:val="24"/>
        </w:rPr>
        <w:t>T</w:t>
      </w:r>
      <w:r w:rsidR="00885BF1" w:rsidRPr="00FD7242">
        <w:rPr>
          <w:rFonts w:ascii="Times New Roman" w:hAnsi="Times New Roman" w:cs="Times New Roman"/>
          <w:sz w:val="24"/>
          <w:szCs w:val="24"/>
        </w:rPr>
        <w:t>he records that were released.</w:t>
      </w:r>
    </w:p>
    <w:p w:rsidR="0004686D" w:rsidRPr="0004686D" w:rsidRDefault="0004686D" w:rsidP="0004686D">
      <w:pPr>
        <w:pStyle w:val="ListParagraph"/>
        <w:numPr>
          <w:ilvl w:val="0"/>
          <w:numId w:val="1"/>
        </w:numPr>
        <w:spacing w:after="240" w:line="240" w:lineRule="auto"/>
        <w:contextualSpacing w:val="0"/>
        <w:jc w:val="both"/>
        <w:rPr>
          <w:rFonts w:ascii="Times New Roman" w:hAnsi="Times New Roman" w:cs="Times New Roman"/>
          <w:b/>
          <w:sz w:val="24"/>
          <w:szCs w:val="24"/>
          <w:u w:val="single"/>
        </w:rPr>
      </w:pPr>
      <w:r w:rsidRPr="0004686D">
        <w:rPr>
          <w:rFonts w:ascii="Times New Roman" w:hAnsi="Times New Roman" w:cs="Times New Roman"/>
          <w:b/>
          <w:sz w:val="24"/>
          <w:szCs w:val="24"/>
          <w:u w:val="single"/>
        </w:rPr>
        <w:t>Procedure:</w:t>
      </w:r>
    </w:p>
    <w:p w:rsidR="0004686D" w:rsidRPr="0004686D" w:rsidRDefault="0004686D" w:rsidP="0004686D">
      <w:pPr>
        <w:spacing w:after="240"/>
        <w:ind w:left="360"/>
        <w:jc w:val="both"/>
        <w:rPr>
          <w:rFonts w:cs="Times New Roman"/>
          <w:szCs w:val="24"/>
        </w:rPr>
      </w:pPr>
      <w:r w:rsidRPr="0004686D">
        <w:rPr>
          <w:rFonts w:cs="Times New Roman"/>
          <w:szCs w:val="24"/>
        </w:rPr>
        <w:t xml:space="preserve">Except for disclosures permitted without consent, </w:t>
      </w:r>
      <w:r>
        <w:rPr>
          <w:rFonts w:cs="Times New Roman"/>
          <w:i/>
          <w:szCs w:val="24"/>
        </w:rPr>
        <w:t>[Organization]</w:t>
      </w:r>
      <w:r w:rsidRPr="0004686D">
        <w:rPr>
          <w:rFonts w:cs="Times New Roman"/>
          <w:szCs w:val="24"/>
        </w:rPr>
        <w:t xml:space="preserve"> shall obtain </w:t>
      </w:r>
      <w:r w:rsidR="001A4233">
        <w:rPr>
          <w:rFonts w:cs="Times New Roman"/>
          <w:szCs w:val="24"/>
        </w:rPr>
        <w:t xml:space="preserve">prior written </w:t>
      </w:r>
      <w:r w:rsidRPr="0004686D">
        <w:rPr>
          <w:rFonts w:cs="Times New Roman"/>
          <w:szCs w:val="24"/>
        </w:rPr>
        <w:t xml:space="preserve">consent for the disclosure of </w:t>
      </w:r>
      <w:r w:rsidR="001A4233">
        <w:rPr>
          <w:rFonts w:cs="Times New Roman"/>
          <w:szCs w:val="24"/>
        </w:rPr>
        <w:t>health information</w:t>
      </w:r>
      <w:r w:rsidRPr="0004686D">
        <w:rPr>
          <w:rFonts w:cs="Times New Roman"/>
          <w:szCs w:val="24"/>
        </w:rPr>
        <w:t xml:space="preserve"> prior to </w:t>
      </w:r>
      <w:r w:rsidR="001A4233">
        <w:rPr>
          <w:rFonts w:cs="Times New Roman"/>
          <w:szCs w:val="24"/>
        </w:rPr>
        <w:t>disclosing such information</w:t>
      </w:r>
      <w:r w:rsidRPr="0004686D">
        <w:rPr>
          <w:rFonts w:cs="Times New Roman"/>
          <w:szCs w:val="24"/>
        </w:rPr>
        <w:t>.</w:t>
      </w:r>
      <w:r w:rsidR="008C776D">
        <w:rPr>
          <w:rFonts w:cs="Times New Roman"/>
          <w:szCs w:val="24"/>
        </w:rPr>
        <w:t xml:space="preserve">  [</w:t>
      </w:r>
      <w:r w:rsidR="008C776D" w:rsidRPr="008C776D">
        <w:rPr>
          <w:rFonts w:cs="Times New Roman"/>
          <w:i/>
          <w:szCs w:val="24"/>
        </w:rPr>
        <w:t>Organization</w:t>
      </w:r>
      <w:r w:rsidR="008C776D">
        <w:rPr>
          <w:rFonts w:cs="Times New Roman"/>
          <w:szCs w:val="24"/>
        </w:rPr>
        <w:t xml:space="preserve">] workforce shall otherwise comply with this policy when using and disclosing information. </w:t>
      </w:r>
    </w:p>
    <w:p w:rsidR="001A4233" w:rsidRDefault="001A4233"/>
    <w:sectPr w:rsidR="001A423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6D" w:rsidRDefault="0004686D" w:rsidP="0004686D">
      <w:r>
        <w:separator/>
      </w:r>
    </w:p>
  </w:endnote>
  <w:endnote w:type="continuationSeparator" w:id="0">
    <w:p w:rsidR="0004686D" w:rsidRDefault="0004686D" w:rsidP="0004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027263"/>
      <w:docPartObj>
        <w:docPartGallery w:val="Page Numbers (Bottom of Page)"/>
        <w:docPartUnique/>
      </w:docPartObj>
    </w:sdtPr>
    <w:sdtEndPr>
      <w:rPr>
        <w:noProof/>
      </w:rPr>
    </w:sdtEndPr>
    <w:sdtContent>
      <w:p w:rsidR="002E0370" w:rsidRDefault="002E0370">
        <w:pPr>
          <w:pStyle w:val="Footer"/>
          <w:jc w:val="center"/>
        </w:pPr>
        <w:r>
          <w:fldChar w:fldCharType="begin"/>
        </w:r>
        <w:r>
          <w:instrText xml:space="preserve"> PAGE   \* MERGEFORMAT </w:instrText>
        </w:r>
        <w:r>
          <w:fldChar w:fldCharType="separate"/>
        </w:r>
        <w:r w:rsidR="00ED4450">
          <w:rPr>
            <w:noProof/>
          </w:rPr>
          <w:t>1</w:t>
        </w:r>
        <w:r>
          <w:rPr>
            <w:noProof/>
          </w:rPr>
          <w:fldChar w:fldCharType="end"/>
        </w:r>
      </w:p>
    </w:sdtContent>
  </w:sdt>
  <w:p w:rsidR="002E0370" w:rsidRDefault="002E0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6D" w:rsidRDefault="0004686D" w:rsidP="0004686D">
      <w:r>
        <w:separator/>
      </w:r>
    </w:p>
  </w:footnote>
  <w:footnote w:type="continuationSeparator" w:id="0">
    <w:p w:rsidR="0004686D" w:rsidRDefault="0004686D" w:rsidP="00046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6D" w:rsidRDefault="0004686D" w:rsidP="0004686D">
    <w:pPr>
      <w:pStyle w:val="Header"/>
      <w:jc w:val="center"/>
    </w:pPr>
    <w:r>
      <w:t>[Enter Organization Logo]</w:t>
    </w:r>
  </w:p>
  <w:p w:rsidR="0004686D" w:rsidRDefault="00046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084"/>
    <w:multiLevelType w:val="hybridMultilevel"/>
    <w:tmpl w:val="62D05B18"/>
    <w:lvl w:ilvl="0" w:tplc="455AF3D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81C85"/>
    <w:multiLevelType w:val="hybridMultilevel"/>
    <w:tmpl w:val="98F46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5C5135"/>
    <w:multiLevelType w:val="hybridMultilevel"/>
    <w:tmpl w:val="30CC8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1E64C1"/>
    <w:multiLevelType w:val="hybridMultilevel"/>
    <w:tmpl w:val="147E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1F7FFD"/>
    <w:multiLevelType w:val="hybridMultilevel"/>
    <w:tmpl w:val="11F2CAF4"/>
    <w:lvl w:ilvl="0" w:tplc="7AE89430">
      <w:start w:val="1"/>
      <w:numFmt w:val="decimal"/>
      <w:lvlText w:val="%1."/>
      <w:lvlJc w:val="left"/>
      <w:pPr>
        <w:ind w:left="1145" w:hanging="360"/>
      </w:pPr>
      <w:rPr>
        <w:rFonts w:ascii="Times New Roman" w:hAnsi="Times New Roman" w:cs="Times New Roman" w:hint="default"/>
        <w:sz w:val="24"/>
        <w:szCs w:val="24"/>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nsid w:val="55CD5611"/>
    <w:multiLevelType w:val="hybridMultilevel"/>
    <w:tmpl w:val="1FD8E688"/>
    <w:lvl w:ilvl="0" w:tplc="7AE89430">
      <w:start w:val="1"/>
      <w:numFmt w:val="decimal"/>
      <w:lvlText w:val="%1."/>
      <w:lvlJc w:val="left"/>
      <w:pPr>
        <w:ind w:left="1170" w:hanging="360"/>
      </w:pPr>
      <w:rPr>
        <w:rFonts w:ascii="Times New Roman" w:hAnsi="Times New Roman" w:cs="Times New Roman" w:hint="default"/>
        <w:sz w:val="24"/>
        <w:szCs w:val="24"/>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6">
    <w:nsid w:val="56F778E6"/>
    <w:multiLevelType w:val="hybridMultilevel"/>
    <w:tmpl w:val="D04C8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9F5236"/>
    <w:multiLevelType w:val="multilevel"/>
    <w:tmpl w:val="2CD8E028"/>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3"/>
  </w:num>
  <w:num w:numId="3">
    <w:abstractNumId w:val="6"/>
  </w:num>
  <w:num w:numId="4">
    <w:abstractNumId w:val="0"/>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D⌓#⌊┚┥271|~Ŕm}ÕN⌌ƘA⌎…â÷p.4⌙⌘Æñm\Z2^!)Þ⌎ˆT¢`Á⌛õL&gt;@—mòë¨›–è#․(!Iw¥8⌒#b²²æÈ”ž„‧&amp;⌃Õ‱@Í™⌟‣²„JÝ `GÕOù]yæÎé°ymBóž.⌉P{+i56|lÎ:s5M[⌔ãí&lt;È.⌘©DÉU-3⌝°ÿ&amp;Ú=_Y=:]a011"/>
    <w:docVar w:name="zzmp10LastTrailerInserted_4347" w:val="^`~#mp!@]D⌓#⌊┚┥271|~Ŕm}ÕN⌌ƘA⌎…â÷p.4⌙⌘Æñm\Z2^!)Þ⌎ˆT¢`Á⌛õL&gt;@—mòë¨›–è#․(!Iw¥8⌒#b²²æÈ”ž„‧&amp;⌃Õ‱@Í™⌟‣²„JÝ `GÕOù]yæÎé°ymBóž.⌉P{+i56|lÎ:s5M[⌔ãí&lt;È.⌘©DÉU-3⌝°ÿ&amp;Ú=_Y=:]a011"/>
    <w:docVar w:name="zzmp10mSEGsValidated" w:val="1"/>
  </w:docVars>
  <w:rsids>
    <w:rsidRoot w:val="0004686D"/>
    <w:rsid w:val="0004686D"/>
    <w:rsid w:val="000D3EED"/>
    <w:rsid w:val="0015127F"/>
    <w:rsid w:val="00192053"/>
    <w:rsid w:val="001A4233"/>
    <w:rsid w:val="00273F35"/>
    <w:rsid w:val="00296EC7"/>
    <w:rsid w:val="002B041A"/>
    <w:rsid w:val="002E0370"/>
    <w:rsid w:val="003830B3"/>
    <w:rsid w:val="003C1141"/>
    <w:rsid w:val="004356CE"/>
    <w:rsid w:val="004659E7"/>
    <w:rsid w:val="004D76E9"/>
    <w:rsid w:val="005425A2"/>
    <w:rsid w:val="005875BE"/>
    <w:rsid w:val="005C7D05"/>
    <w:rsid w:val="006515CE"/>
    <w:rsid w:val="007439EE"/>
    <w:rsid w:val="007653B1"/>
    <w:rsid w:val="0084023C"/>
    <w:rsid w:val="00885BF1"/>
    <w:rsid w:val="008C776D"/>
    <w:rsid w:val="008E3503"/>
    <w:rsid w:val="00911572"/>
    <w:rsid w:val="00952CC2"/>
    <w:rsid w:val="00983CB7"/>
    <w:rsid w:val="009D251B"/>
    <w:rsid w:val="00A733B9"/>
    <w:rsid w:val="00C34397"/>
    <w:rsid w:val="00C530D8"/>
    <w:rsid w:val="00CE0AB2"/>
    <w:rsid w:val="00D26F19"/>
    <w:rsid w:val="00D856FE"/>
    <w:rsid w:val="00D971D4"/>
    <w:rsid w:val="00DA0C5B"/>
    <w:rsid w:val="00DC3716"/>
    <w:rsid w:val="00E440EE"/>
    <w:rsid w:val="00E57E58"/>
    <w:rsid w:val="00E74AEC"/>
    <w:rsid w:val="00E9206E"/>
    <w:rsid w:val="00ED4450"/>
    <w:rsid w:val="00F16C92"/>
    <w:rsid w:val="00F56587"/>
    <w:rsid w:val="00F731F0"/>
    <w:rsid w:val="00FB344F"/>
    <w:rsid w:val="00FC2D98"/>
    <w:rsid w:val="00FD724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6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86D"/>
    <w:pPr>
      <w:tabs>
        <w:tab w:val="center" w:pos="4680"/>
        <w:tab w:val="right" w:pos="9360"/>
      </w:tabs>
    </w:pPr>
  </w:style>
  <w:style w:type="character" w:customStyle="1" w:styleId="HeaderChar">
    <w:name w:val="Header Char"/>
    <w:basedOn w:val="DefaultParagraphFont"/>
    <w:link w:val="Header"/>
    <w:uiPriority w:val="99"/>
    <w:rsid w:val="0004686D"/>
    <w:rPr>
      <w:rFonts w:ascii="Times New Roman" w:hAnsi="Times New Roman"/>
      <w:sz w:val="24"/>
    </w:rPr>
  </w:style>
  <w:style w:type="paragraph" w:styleId="Footer">
    <w:name w:val="footer"/>
    <w:basedOn w:val="Normal"/>
    <w:link w:val="FooterChar"/>
    <w:uiPriority w:val="99"/>
    <w:unhideWhenUsed/>
    <w:rsid w:val="0004686D"/>
    <w:pPr>
      <w:tabs>
        <w:tab w:val="center" w:pos="4680"/>
        <w:tab w:val="right" w:pos="9360"/>
      </w:tabs>
    </w:pPr>
  </w:style>
  <w:style w:type="character" w:customStyle="1" w:styleId="FooterChar">
    <w:name w:val="Footer Char"/>
    <w:basedOn w:val="DefaultParagraphFont"/>
    <w:link w:val="Footer"/>
    <w:uiPriority w:val="99"/>
    <w:rsid w:val="0004686D"/>
    <w:rPr>
      <w:rFonts w:ascii="Times New Roman" w:hAnsi="Times New Roman"/>
      <w:sz w:val="24"/>
    </w:rPr>
  </w:style>
  <w:style w:type="paragraph" w:styleId="ListParagraph">
    <w:name w:val="List Paragraph"/>
    <w:basedOn w:val="Normal"/>
    <w:uiPriority w:val="34"/>
    <w:qFormat/>
    <w:rsid w:val="0004686D"/>
    <w:pPr>
      <w:spacing w:after="200" w:line="276" w:lineRule="auto"/>
      <w:ind w:left="720"/>
      <w:contextualSpacing/>
    </w:pPr>
    <w:rPr>
      <w:rFonts w:asciiTheme="minorHAnsi" w:eastAsiaTheme="minorEastAsia" w:hAnsiTheme="minorHAnsi"/>
      <w:sz w:val="22"/>
    </w:rPr>
  </w:style>
  <w:style w:type="paragraph" w:customStyle="1" w:styleId="ShadingIndentinNormal">
    <w:name w:val="Shading Indent in Normal"/>
    <w:basedOn w:val="Normal"/>
    <w:rsid w:val="0004686D"/>
    <w:pPr>
      <w:shd w:val="pct10" w:color="auto" w:fill="auto"/>
      <w:ind w:left="720" w:right="720"/>
    </w:pPr>
    <w:rPr>
      <w:rFonts w:eastAsia="Times New Roman" w:cs="Times New Roman"/>
      <w:b/>
      <w:sz w:val="20"/>
      <w:szCs w:val="24"/>
    </w:rPr>
  </w:style>
  <w:style w:type="paragraph" w:customStyle="1" w:styleId="MacPacTrailer">
    <w:name w:val="MacPac Trailer"/>
    <w:rsid w:val="001A4233"/>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1A4233"/>
    <w:rPr>
      <w:rFonts w:ascii="Tahoma" w:hAnsi="Tahoma" w:cs="Tahoma"/>
      <w:sz w:val="16"/>
      <w:szCs w:val="16"/>
    </w:rPr>
  </w:style>
  <w:style w:type="character" w:customStyle="1" w:styleId="BalloonTextChar">
    <w:name w:val="Balloon Text Char"/>
    <w:basedOn w:val="DefaultParagraphFont"/>
    <w:link w:val="BalloonText"/>
    <w:uiPriority w:val="99"/>
    <w:semiHidden/>
    <w:rsid w:val="001A4233"/>
    <w:rPr>
      <w:rFonts w:ascii="Tahoma" w:hAnsi="Tahoma" w:cs="Tahoma"/>
      <w:sz w:val="16"/>
      <w:szCs w:val="16"/>
    </w:rPr>
  </w:style>
  <w:style w:type="character" w:styleId="PlaceholderText">
    <w:name w:val="Placeholder Text"/>
    <w:basedOn w:val="DefaultParagraphFont"/>
    <w:uiPriority w:val="99"/>
    <w:semiHidden/>
    <w:rsid w:val="001A42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6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86D"/>
    <w:pPr>
      <w:tabs>
        <w:tab w:val="center" w:pos="4680"/>
        <w:tab w:val="right" w:pos="9360"/>
      </w:tabs>
    </w:pPr>
  </w:style>
  <w:style w:type="character" w:customStyle="1" w:styleId="HeaderChar">
    <w:name w:val="Header Char"/>
    <w:basedOn w:val="DefaultParagraphFont"/>
    <w:link w:val="Header"/>
    <w:uiPriority w:val="99"/>
    <w:rsid w:val="0004686D"/>
    <w:rPr>
      <w:rFonts w:ascii="Times New Roman" w:hAnsi="Times New Roman"/>
      <w:sz w:val="24"/>
    </w:rPr>
  </w:style>
  <w:style w:type="paragraph" w:styleId="Footer">
    <w:name w:val="footer"/>
    <w:basedOn w:val="Normal"/>
    <w:link w:val="FooterChar"/>
    <w:uiPriority w:val="99"/>
    <w:unhideWhenUsed/>
    <w:rsid w:val="0004686D"/>
    <w:pPr>
      <w:tabs>
        <w:tab w:val="center" w:pos="4680"/>
        <w:tab w:val="right" w:pos="9360"/>
      </w:tabs>
    </w:pPr>
  </w:style>
  <w:style w:type="character" w:customStyle="1" w:styleId="FooterChar">
    <w:name w:val="Footer Char"/>
    <w:basedOn w:val="DefaultParagraphFont"/>
    <w:link w:val="Footer"/>
    <w:uiPriority w:val="99"/>
    <w:rsid w:val="0004686D"/>
    <w:rPr>
      <w:rFonts w:ascii="Times New Roman" w:hAnsi="Times New Roman"/>
      <w:sz w:val="24"/>
    </w:rPr>
  </w:style>
  <w:style w:type="paragraph" w:styleId="ListParagraph">
    <w:name w:val="List Paragraph"/>
    <w:basedOn w:val="Normal"/>
    <w:uiPriority w:val="34"/>
    <w:qFormat/>
    <w:rsid w:val="0004686D"/>
    <w:pPr>
      <w:spacing w:after="200" w:line="276" w:lineRule="auto"/>
      <w:ind w:left="720"/>
      <w:contextualSpacing/>
    </w:pPr>
    <w:rPr>
      <w:rFonts w:asciiTheme="minorHAnsi" w:eastAsiaTheme="minorEastAsia" w:hAnsiTheme="minorHAnsi"/>
      <w:sz w:val="22"/>
    </w:rPr>
  </w:style>
  <w:style w:type="paragraph" w:customStyle="1" w:styleId="ShadingIndentinNormal">
    <w:name w:val="Shading Indent in Normal"/>
    <w:basedOn w:val="Normal"/>
    <w:rsid w:val="0004686D"/>
    <w:pPr>
      <w:shd w:val="pct10" w:color="auto" w:fill="auto"/>
      <w:ind w:left="720" w:right="720"/>
    </w:pPr>
    <w:rPr>
      <w:rFonts w:eastAsia="Times New Roman" w:cs="Times New Roman"/>
      <w:b/>
      <w:sz w:val="20"/>
      <w:szCs w:val="24"/>
    </w:rPr>
  </w:style>
  <w:style w:type="paragraph" w:customStyle="1" w:styleId="MacPacTrailer">
    <w:name w:val="MacPac Trailer"/>
    <w:rsid w:val="001A4233"/>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1A4233"/>
    <w:rPr>
      <w:rFonts w:ascii="Tahoma" w:hAnsi="Tahoma" w:cs="Tahoma"/>
      <w:sz w:val="16"/>
      <w:szCs w:val="16"/>
    </w:rPr>
  </w:style>
  <w:style w:type="character" w:customStyle="1" w:styleId="BalloonTextChar">
    <w:name w:val="Balloon Text Char"/>
    <w:basedOn w:val="DefaultParagraphFont"/>
    <w:link w:val="BalloonText"/>
    <w:uiPriority w:val="99"/>
    <w:semiHidden/>
    <w:rsid w:val="001A4233"/>
    <w:rPr>
      <w:rFonts w:ascii="Tahoma" w:hAnsi="Tahoma" w:cs="Tahoma"/>
      <w:sz w:val="16"/>
      <w:szCs w:val="16"/>
    </w:rPr>
  </w:style>
  <w:style w:type="character" w:styleId="PlaceholderText">
    <w:name w:val="Placeholder Text"/>
    <w:basedOn w:val="DefaultParagraphFont"/>
    <w:uiPriority w:val="99"/>
    <w:semiHidden/>
    <w:rsid w:val="001A4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EEAD-1681-47A9-97B4-E583205D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F3A1A794.dotm</Template>
  <TotalTime>0</TotalTime>
  <Pages>5</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Consent to Disclose Health Information Under Minnesota Law</vt:lpstr>
    </vt:vector>
  </TitlesOfParts>
  <Company>Gray Plant Mooty</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Disclose Health Information Under Minnesota Law</dc:title>
  <dc:subject>Minnesota Law</dc:subject>
  <dc:creator>Reiland, Julia C.</dc:creator>
  <cp:lastModifiedBy>Schue, Lila M.</cp:lastModifiedBy>
  <cp:revision>2</cp:revision>
  <cp:lastPrinted>2016-10-28T20:18:00Z</cp:lastPrinted>
  <dcterms:created xsi:type="dcterms:W3CDTF">2017-03-02T16:21:00Z</dcterms:created>
  <dcterms:modified xsi:type="dcterms:W3CDTF">2017-03-02T16:21:00Z</dcterms:modified>
  <cp:category>Foundations in Privacy Toolkit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8167405f-dbfb-4b9e-ba9c-50b6c7268ef7</vt:lpwstr>
  </property>
</Properties>
</file>