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70C" w:rsidRPr="00705F0A" w:rsidRDefault="00FA0150" w:rsidP="0070470C">
      <w:pPr>
        <w:widowControl w:val="0"/>
        <w:jc w:val="center"/>
        <w:rPr>
          <w:rFonts w:eastAsia="Times New Roman"/>
          <w:b/>
        </w:rPr>
      </w:pPr>
      <w:bookmarkStart w:id="0" w:name="_GoBack"/>
      <w:bookmarkEnd w:id="0"/>
      <w:r w:rsidRPr="00705F0A">
        <w:rPr>
          <w:rFonts w:eastAsia="Times New Roman"/>
          <w:b/>
        </w:rPr>
        <w:t>DISCLOSURES FOR JUDICIAL AND ADMINISTRATIVE PROCEEDINGS</w:t>
      </w:r>
    </w:p>
    <w:p w:rsidR="0070470C" w:rsidRPr="00705F0A" w:rsidRDefault="0070470C" w:rsidP="0070470C">
      <w:pPr>
        <w:widowControl w:val="0"/>
        <w:jc w:val="center"/>
        <w:rPr>
          <w:rFonts w:eastAsia="Times New Roman"/>
          <w:b/>
        </w:rPr>
      </w:pPr>
    </w:p>
    <w:p w:rsidR="0070470C" w:rsidRPr="00705F0A" w:rsidRDefault="0070470C" w:rsidP="0070470C">
      <w:pPr>
        <w:widowControl w:val="0"/>
        <w:jc w:val="center"/>
        <w:rPr>
          <w:rFonts w:eastAsia="Times New Roman"/>
          <w:b/>
        </w:rPr>
      </w:pPr>
      <w:r w:rsidRPr="00705F0A">
        <w:rPr>
          <w:rFonts w:eastAsia="Times New Roman"/>
          <w:b/>
        </w:rPr>
        <w:t>Policy Number: [Enter]</w:t>
      </w:r>
    </w:p>
    <w:p w:rsidR="0070470C" w:rsidRPr="00705F0A" w:rsidRDefault="0070470C" w:rsidP="0070470C">
      <w:pPr>
        <w:widowControl w:val="0"/>
        <w:jc w:val="center"/>
        <w:rPr>
          <w:rFonts w:eastAsia="Times New Roman"/>
          <w:b/>
        </w:rPr>
      </w:pPr>
      <w:r w:rsidRPr="00705F0A">
        <w:rPr>
          <w:rFonts w:eastAsia="Times New Roman"/>
          <w:b/>
        </w:rPr>
        <w:t>Effective Date: [Enter]</w:t>
      </w:r>
    </w:p>
    <w:p w:rsidR="00202CDD" w:rsidRPr="00705F0A" w:rsidRDefault="00202CDD" w:rsidP="0070470C">
      <w:pPr>
        <w:widowControl w:val="0"/>
        <w:jc w:val="center"/>
        <w:rPr>
          <w:rFonts w:eastAsia="Times New Roman"/>
          <w:b/>
        </w:rPr>
      </w:pPr>
    </w:p>
    <w:p w:rsidR="00202CDD" w:rsidRPr="00705F0A" w:rsidRDefault="009F31DC" w:rsidP="00202CDD">
      <w:pPr>
        <w:shd w:val="clear" w:color="auto" w:fill="D9D9D9" w:themeFill="background1" w:themeFillShade="D9"/>
        <w:spacing w:after="240"/>
        <w:ind w:left="720"/>
        <w:jc w:val="both"/>
      </w:pPr>
      <w:r w:rsidRPr="00705F0A">
        <w:rPr>
          <w:b/>
        </w:rPr>
        <w:t xml:space="preserve">The </w:t>
      </w:r>
      <w:r w:rsidR="00202CDD" w:rsidRPr="00705F0A">
        <w:rPr>
          <w:b/>
        </w:rPr>
        <w:t xml:space="preserve">HIPAA </w:t>
      </w:r>
      <w:r w:rsidRPr="00705F0A">
        <w:rPr>
          <w:b/>
        </w:rPr>
        <w:t xml:space="preserve">Privacy Rule allows, but does not require, </w:t>
      </w:r>
      <w:r w:rsidR="00202CDD" w:rsidRPr="00705F0A">
        <w:rPr>
          <w:b/>
        </w:rPr>
        <w:t xml:space="preserve">Covered Entities to </w:t>
      </w:r>
      <w:r w:rsidRPr="00705F0A">
        <w:rPr>
          <w:b/>
        </w:rPr>
        <w:t xml:space="preserve">disclose PHI without the patient’s consent in response to certain judicial and administrative processes.  </w:t>
      </w:r>
      <w:r w:rsidR="00A64235" w:rsidRPr="00A64235">
        <w:rPr>
          <w:b/>
          <w:i/>
        </w:rPr>
        <w:t xml:space="preserve">See </w:t>
      </w:r>
      <w:r w:rsidR="00A64235" w:rsidRPr="00A64235">
        <w:rPr>
          <w:b/>
        </w:rPr>
        <w:t>45 C.F.R. § 164.512(e)</w:t>
      </w:r>
      <w:r w:rsidR="00A64235">
        <w:rPr>
          <w:b/>
        </w:rPr>
        <w:t xml:space="preserve">.  </w:t>
      </w:r>
      <w:r w:rsidR="00C0428B">
        <w:rPr>
          <w:b/>
        </w:rPr>
        <w:t>However, t</w:t>
      </w:r>
      <w:r w:rsidRPr="00705F0A">
        <w:rPr>
          <w:b/>
        </w:rPr>
        <w:t xml:space="preserve">he Minnesota Health Records Act allows disclosure of health records without the patient’s consent </w:t>
      </w:r>
      <w:r w:rsidR="00DB62AA" w:rsidRPr="00186F80">
        <w:rPr>
          <w:b/>
        </w:rPr>
        <w:t>only</w:t>
      </w:r>
      <w:r w:rsidR="00DB62AA">
        <w:rPr>
          <w:b/>
        </w:rPr>
        <w:t xml:space="preserve"> </w:t>
      </w:r>
      <w:r w:rsidRPr="00705F0A">
        <w:rPr>
          <w:b/>
        </w:rPr>
        <w:t xml:space="preserve">pursuant to “specific authorization in law.”  </w:t>
      </w:r>
      <w:proofErr w:type="gramStart"/>
      <w:r w:rsidR="00A64235" w:rsidRPr="00A64235">
        <w:rPr>
          <w:b/>
        </w:rPr>
        <w:t xml:space="preserve">Minn. Stat. § 144.293, </w:t>
      </w:r>
      <w:proofErr w:type="spellStart"/>
      <w:r w:rsidR="00A64235" w:rsidRPr="00A64235">
        <w:rPr>
          <w:b/>
        </w:rPr>
        <w:t>subd</w:t>
      </w:r>
      <w:proofErr w:type="spellEnd"/>
      <w:r w:rsidR="00A64235" w:rsidRPr="00A64235">
        <w:rPr>
          <w:b/>
        </w:rPr>
        <w:t>.</w:t>
      </w:r>
      <w:proofErr w:type="gramEnd"/>
      <w:r w:rsidR="00A64235" w:rsidRPr="00A64235">
        <w:rPr>
          <w:b/>
        </w:rPr>
        <w:t xml:space="preserve"> </w:t>
      </w:r>
      <w:proofErr w:type="gramStart"/>
      <w:r w:rsidR="00A64235" w:rsidRPr="00A64235">
        <w:rPr>
          <w:b/>
        </w:rPr>
        <w:t>2(2).</w:t>
      </w:r>
      <w:proofErr w:type="gramEnd"/>
    </w:p>
    <w:p w:rsidR="0070470C" w:rsidRPr="00705F0A" w:rsidRDefault="009F31DC" w:rsidP="0070470C">
      <w:pPr>
        <w:pStyle w:val="ListParagraph"/>
        <w:numPr>
          <w:ilvl w:val="0"/>
          <w:numId w:val="1"/>
        </w:numPr>
        <w:spacing w:after="240" w:line="240" w:lineRule="auto"/>
        <w:contextualSpacing w:val="0"/>
        <w:jc w:val="both"/>
        <w:rPr>
          <w:rFonts w:ascii="Times New Roman" w:hAnsi="Times New Roman"/>
          <w:b/>
          <w:sz w:val="24"/>
          <w:u w:val="single"/>
        </w:rPr>
      </w:pPr>
      <w:r w:rsidRPr="00705F0A">
        <w:rPr>
          <w:rFonts w:ascii="Times New Roman" w:hAnsi="Times New Roman"/>
          <w:b/>
          <w:sz w:val="24"/>
          <w:u w:val="single"/>
        </w:rPr>
        <w:t xml:space="preserve">Disclosures for Judicial and Administrative Proceedings </w:t>
      </w:r>
      <w:r w:rsidR="0070470C" w:rsidRPr="00705F0A">
        <w:rPr>
          <w:rFonts w:ascii="Times New Roman" w:hAnsi="Times New Roman"/>
          <w:b/>
          <w:sz w:val="24"/>
          <w:u w:val="single"/>
        </w:rPr>
        <w:t>Policy:</w:t>
      </w:r>
    </w:p>
    <w:p w:rsidR="0070470C" w:rsidRPr="00705F0A" w:rsidRDefault="0070470C" w:rsidP="0070470C">
      <w:pPr>
        <w:pStyle w:val="ListParagraph"/>
        <w:numPr>
          <w:ilvl w:val="1"/>
          <w:numId w:val="1"/>
        </w:numPr>
        <w:spacing w:after="240" w:line="240" w:lineRule="auto"/>
        <w:contextualSpacing w:val="0"/>
        <w:jc w:val="both"/>
        <w:rPr>
          <w:rFonts w:ascii="Times New Roman" w:hAnsi="Times New Roman"/>
          <w:b/>
          <w:sz w:val="24"/>
        </w:rPr>
      </w:pPr>
      <w:r w:rsidRPr="00705F0A">
        <w:rPr>
          <w:rFonts w:ascii="Times New Roman" w:hAnsi="Times New Roman"/>
          <w:b/>
          <w:sz w:val="24"/>
        </w:rPr>
        <w:t>Purpose</w:t>
      </w:r>
    </w:p>
    <w:p w:rsidR="0070470C" w:rsidRPr="00705F0A" w:rsidRDefault="009F31DC" w:rsidP="009F31DC">
      <w:pPr>
        <w:spacing w:after="240"/>
        <w:ind w:left="360"/>
        <w:jc w:val="both"/>
      </w:pPr>
      <w:r w:rsidRPr="00705F0A">
        <w:t xml:space="preserve">This </w:t>
      </w:r>
      <w:r w:rsidR="003167A5">
        <w:t>p</w:t>
      </w:r>
      <w:r w:rsidRPr="00705F0A">
        <w:t xml:space="preserve">olicy establishes guidelines for </w:t>
      </w:r>
      <w:r w:rsidRPr="000E3F03">
        <w:t>[</w:t>
      </w:r>
      <w:r w:rsidRPr="00705F0A">
        <w:rPr>
          <w:i/>
        </w:rPr>
        <w:t>Organization</w:t>
      </w:r>
      <w:r w:rsidRPr="000E3F03">
        <w:t>]</w:t>
      </w:r>
      <w:r w:rsidRPr="00705F0A">
        <w:rPr>
          <w:i/>
        </w:rPr>
        <w:t xml:space="preserve"> </w:t>
      </w:r>
      <w:r w:rsidRPr="00705F0A">
        <w:t xml:space="preserve">to follow regarding the disclosure of PHI in response to a subpoena, court order, or other lawful process originating from a judicial or administrative proceeding. </w:t>
      </w:r>
    </w:p>
    <w:p w:rsidR="007A69EC" w:rsidRPr="00705F0A" w:rsidRDefault="007A69EC" w:rsidP="007A69EC">
      <w:pPr>
        <w:pStyle w:val="ListParagraph"/>
        <w:numPr>
          <w:ilvl w:val="1"/>
          <w:numId w:val="1"/>
        </w:numPr>
        <w:spacing w:after="240" w:line="240" w:lineRule="auto"/>
        <w:contextualSpacing w:val="0"/>
        <w:jc w:val="both"/>
        <w:rPr>
          <w:rFonts w:ascii="Times New Roman" w:hAnsi="Times New Roman"/>
          <w:b/>
          <w:sz w:val="24"/>
        </w:rPr>
      </w:pPr>
      <w:r w:rsidRPr="00705F0A">
        <w:rPr>
          <w:rFonts w:ascii="Times New Roman" w:hAnsi="Times New Roman"/>
          <w:b/>
          <w:sz w:val="24"/>
        </w:rPr>
        <w:t>In General</w:t>
      </w:r>
    </w:p>
    <w:p w:rsidR="00C0428B" w:rsidRDefault="009F31DC" w:rsidP="009F31DC">
      <w:pPr>
        <w:spacing w:after="240"/>
        <w:ind w:left="360"/>
        <w:jc w:val="both"/>
      </w:pPr>
      <w:r w:rsidRPr="00705F0A">
        <w:t>In accordance with the requirements and</w:t>
      </w:r>
      <w:r w:rsidR="003167A5">
        <w:t xml:space="preserve"> restrictions outlined in this p</w:t>
      </w:r>
      <w:r w:rsidRPr="00705F0A">
        <w:t xml:space="preserve">olicy, </w:t>
      </w:r>
      <w:r w:rsidR="000E3F03" w:rsidRPr="000E3F03">
        <w:t>[</w:t>
      </w:r>
      <w:r w:rsidR="000E3F03" w:rsidRPr="00705F0A">
        <w:rPr>
          <w:i/>
        </w:rPr>
        <w:t>Organization</w:t>
      </w:r>
      <w:r w:rsidR="000E3F03" w:rsidRPr="000E3F03">
        <w:t>]</w:t>
      </w:r>
      <w:r w:rsidRPr="00705F0A">
        <w:t xml:space="preserve"> may use or disclose PHI, without the written authorization of the individual or giving the individual the opportunity to agree or object, in response to an order of a court or administrative tribunal</w:t>
      </w:r>
      <w:r w:rsidR="00C0428B" w:rsidRPr="00C0428B">
        <w:t xml:space="preserve"> </w:t>
      </w:r>
      <w:r w:rsidR="00C0428B">
        <w:t>or some other mandate in applicable state or federal law</w:t>
      </w:r>
      <w:r w:rsidRPr="00705F0A">
        <w:t xml:space="preserve">, provided that </w:t>
      </w:r>
      <w:r w:rsidRPr="00705F0A">
        <w:rPr>
          <w:i/>
        </w:rPr>
        <w:t>[Organization]</w:t>
      </w:r>
      <w:r w:rsidRPr="00705F0A">
        <w:t xml:space="preserve"> discloses only the PHI expressly authorized by such order</w:t>
      </w:r>
      <w:r w:rsidR="00C0428B">
        <w:t xml:space="preserve"> or mandate</w:t>
      </w:r>
      <w:r w:rsidR="00430073">
        <w:t>.</w:t>
      </w:r>
      <w:r w:rsidR="00A64235">
        <w:t xml:space="preserve"> </w:t>
      </w:r>
      <w:r w:rsidR="002A26D7">
        <w:t xml:space="preserve"> </w:t>
      </w:r>
    </w:p>
    <w:p w:rsidR="009F31DC" w:rsidRPr="00585633" w:rsidRDefault="00585633" w:rsidP="009F31DC">
      <w:pPr>
        <w:spacing w:after="240"/>
        <w:ind w:left="360"/>
        <w:jc w:val="both"/>
      </w:pPr>
      <w:r>
        <w:t xml:space="preserve">Alternatively, </w:t>
      </w:r>
      <w:r w:rsidR="000E3F03" w:rsidRPr="000E3F03">
        <w:t>[</w:t>
      </w:r>
      <w:r w:rsidR="000E3F03" w:rsidRPr="00705F0A">
        <w:rPr>
          <w:i/>
        </w:rPr>
        <w:t>Organization</w:t>
      </w:r>
      <w:r w:rsidR="000E3F03" w:rsidRPr="000E3F03">
        <w:t>]</w:t>
      </w:r>
      <w:r>
        <w:rPr>
          <w:i/>
        </w:rPr>
        <w:t xml:space="preserve"> </w:t>
      </w:r>
      <w:r>
        <w:t xml:space="preserve">may disclose PHI in the context of judicial and administrative proceedings if this occurs pursuant to the written authorization of the patient.  For information regarding the content of the authorization and other information about authorization forms, refer to policy number </w:t>
      </w:r>
      <w:r w:rsidRPr="000E3F03">
        <w:t>[</w:t>
      </w:r>
      <w:r w:rsidRPr="00C0428B">
        <w:rPr>
          <w:i/>
        </w:rPr>
        <w:t>Enter</w:t>
      </w:r>
      <w:r w:rsidRPr="000E3F03">
        <w:t>]</w:t>
      </w:r>
      <w:r>
        <w:t>, Authorization for Use and Disclosure of PHI.</w:t>
      </w:r>
    </w:p>
    <w:p w:rsidR="00AB2E85" w:rsidRPr="00AB2E85" w:rsidRDefault="00AB2E85" w:rsidP="009F31DC">
      <w:pPr>
        <w:pStyle w:val="ListParagraph"/>
        <w:numPr>
          <w:ilvl w:val="1"/>
          <w:numId w:val="1"/>
        </w:numPr>
        <w:spacing w:after="240" w:line="240" w:lineRule="auto"/>
        <w:contextualSpacing w:val="0"/>
        <w:jc w:val="both"/>
        <w:rPr>
          <w:rFonts w:ascii="Times New Roman" w:hAnsi="Times New Roman"/>
          <w:b/>
          <w:sz w:val="24"/>
        </w:rPr>
      </w:pPr>
      <w:r>
        <w:rPr>
          <w:rFonts w:ascii="Times New Roman" w:hAnsi="Times New Roman"/>
          <w:b/>
          <w:sz w:val="24"/>
        </w:rPr>
        <w:t>Minimum Necessary</w:t>
      </w:r>
    </w:p>
    <w:p w:rsidR="00AB2E85" w:rsidRPr="00AB2E85" w:rsidRDefault="00AB2E85" w:rsidP="004473CC">
      <w:pPr>
        <w:spacing w:after="240"/>
        <w:ind w:left="360"/>
        <w:jc w:val="both"/>
      </w:pPr>
      <w:r w:rsidRPr="000E3F03">
        <w:t>[</w:t>
      </w:r>
      <w:r>
        <w:rPr>
          <w:i/>
        </w:rPr>
        <w:t>Organization</w:t>
      </w:r>
      <w:r w:rsidRPr="000E3F03">
        <w:t xml:space="preserve">] </w:t>
      </w:r>
      <w:r>
        <w:t>must limit it use and disclosure of PHI pursuant to this policy to the minimum necessary to accomplish the intended pu</w:t>
      </w:r>
      <w:r w:rsidR="000E3F03">
        <w:t>rpose of the use or disclosure.</w:t>
      </w:r>
      <w:r>
        <w:t xml:space="preserve"> </w:t>
      </w:r>
      <w:r w:rsidR="00186F80">
        <w:t xml:space="preserve">For information regarding the </w:t>
      </w:r>
      <w:r w:rsidR="00BB3A3F">
        <w:t>requirements of the minimum necessary rule</w:t>
      </w:r>
      <w:r w:rsidR="00186F80">
        <w:t xml:space="preserve">, refer to policy number </w:t>
      </w:r>
      <w:r w:rsidR="00186F80" w:rsidRPr="000E3F03">
        <w:t>[</w:t>
      </w:r>
      <w:r w:rsidR="00186F80" w:rsidRPr="00C0428B">
        <w:rPr>
          <w:i/>
        </w:rPr>
        <w:t>Enter</w:t>
      </w:r>
      <w:r w:rsidR="00186F80" w:rsidRPr="000E3F03">
        <w:t>],</w:t>
      </w:r>
      <w:r w:rsidR="00186F80">
        <w:t xml:space="preserve"> Minimum Necessary Requests for, or Uses or Disclosures of, PHI.</w:t>
      </w:r>
    </w:p>
    <w:p w:rsidR="00F42076" w:rsidRDefault="00F42076" w:rsidP="009F31DC">
      <w:pPr>
        <w:pStyle w:val="ListParagraph"/>
        <w:numPr>
          <w:ilvl w:val="1"/>
          <w:numId w:val="1"/>
        </w:numPr>
        <w:spacing w:after="240" w:line="240" w:lineRule="auto"/>
        <w:contextualSpacing w:val="0"/>
        <w:jc w:val="both"/>
        <w:rPr>
          <w:rFonts w:ascii="Times New Roman" w:hAnsi="Times New Roman"/>
          <w:b/>
          <w:sz w:val="24"/>
        </w:rPr>
      </w:pPr>
      <w:r>
        <w:rPr>
          <w:rFonts w:ascii="Times New Roman" w:hAnsi="Times New Roman"/>
          <w:b/>
          <w:sz w:val="24"/>
        </w:rPr>
        <w:t>Minnesota Law</w:t>
      </w:r>
    </w:p>
    <w:p w:rsidR="0067360E" w:rsidRDefault="000E3F03" w:rsidP="00E3503E">
      <w:pPr>
        <w:pStyle w:val="ListParagraph"/>
        <w:spacing w:after="240" w:line="240" w:lineRule="auto"/>
        <w:ind w:left="360"/>
        <w:contextualSpacing w:val="0"/>
        <w:jc w:val="both"/>
        <w:rPr>
          <w:rFonts w:ascii="Times New Roman" w:hAnsi="Times New Roman"/>
          <w:sz w:val="24"/>
        </w:rPr>
      </w:pPr>
      <w:r w:rsidRPr="000E3F03">
        <w:t>[</w:t>
      </w:r>
      <w:r w:rsidRPr="00705F0A">
        <w:rPr>
          <w:i/>
        </w:rPr>
        <w:t>Organization</w:t>
      </w:r>
      <w:r w:rsidRPr="000E3F03">
        <w:t>]</w:t>
      </w:r>
      <w:r w:rsidR="00F42076" w:rsidRPr="00F42076">
        <w:rPr>
          <w:rFonts w:ascii="Times New Roman" w:hAnsi="Times New Roman"/>
          <w:i/>
          <w:sz w:val="24"/>
        </w:rPr>
        <w:t xml:space="preserve"> </w:t>
      </w:r>
      <w:r w:rsidR="00F42076" w:rsidRPr="00F42076">
        <w:rPr>
          <w:rFonts w:ascii="Times New Roman" w:hAnsi="Times New Roman"/>
          <w:sz w:val="24"/>
        </w:rPr>
        <w:t>may disclose PHI in the context of judicial and administrative proceedings</w:t>
      </w:r>
      <w:r w:rsidR="00F42076">
        <w:rPr>
          <w:rFonts w:ascii="Times New Roman" w:hAnsi="Times New Roman"/>
          <w:sz w:val="24"/>
        </w:rPr>
        <w:t xml:space="preserve"> pursuant to a request</w:t>
      </w:r>
      <w:r>
        <w:rPr>
          <w:rFonts w:ascii="Times New Roman" w:hAnsi="Times New Roman"/>
          <w:sz w:val="24"/>
        </w:rPr>
        <w:t xml:space="preserve"> accompanied by a court order. </w:t>
      </w:r>
      <w:r w:rsidR="00F42076">
        <w:rPr>
          <w:rFonts w:ascii="Times New Roman" w:hAnsi="Times New Roman"/>
          <w:sz w:val="24"/>
        </w:rPr>
        <w:t xml:space="preserve">Examples of court orders include: (a) Minnesota state court order; (b) </w:t>
      </w:r>
      <w:r w:rsidR="00E3503E">
        <w:rPr>
          <w:rFonts w:ascii="Times New Roman" w:hAnsi="Times New Roman"/>
          <w:sz w:val="24"/>
        </w:rPr>
        <w:t xml:space="preserve">Minnesota </w:t>
      </w:r>
      <w:r w:rsidR="00F42076">
        <w:rPr>
          <w:rFonts w:ascii="Times New Roman" w:hAnsi="Times New Roman"/>
          <w:sz w:val="24"/>
        </w:rPr>
        <w:t xml:space="preserve">federal court order; (c) order signed by a Minnesota judge or administrative law judge; (d) subpoena accompanied by a </w:t>
      </w:r>
      <w:r w:rsidR="00AB5456">
        <w:rPr>
          <w:rFonts w:ascii="Times New Roman" w:hAnsi="Times New Roman"/>
          <w:sz w:val="24"/>
        </w:rPr>
        <w:t xml:space="preserve">Minnesota </w:t>
      </w:r>
      <w:r w:rsidR="00F42076">
        <w:rPr>
          <w:rFonts w:ascii="Times New Roman" w:hAnsi="Times New Roman"/>
          <w:sz w:val="24"/>
        </w:rPr>
        <w:t>court order, etc.</w:t>
      </w:r>
      <w:r w:rsidR="00E3503E">
        <w:rPr>
          <w:rFonts w:ascii="Times New Roman" w:hAnsi="Times New Roman"/>
          <w:sz w:val="24"/>
        </w:rPr>
        <w:t xml:space="preserve">  </w:t>
      </w:r>
    </w:p>
    <w:p w:rsidR="00F42076" w:rsidRPr="00C0428B" w:rsidRDefault="00C0428B" w:rsidP="00E3503E">
      <w:pPr>
        <w:pStyle w:val="ListParagraph"/>
        <w:spacing w:after="240" w:line="240" w:lineRule="auto"/>
        <w:ind w:left="360"/>
        <w:contextualSpacing w:val="0"/>
        <w:jc w:val="both"/>
        <w:rPr>
          <w:rFonts w:ascii="Times New Roman" w:hAnsi="Times New Roman"/>
          <w:sz w:val="24"/>
        </w:rPr>
      </w:pPr>
      <w:r w:rsidRPr="000E3F03">
        <w:rPr>
          <w:rFonts w:ascii="Times New Roman" w:hAnsi="Times New Roman"/>
          <w:sz w:val="24"/>
        </w:rPr>
        <w:lastRenderedPageBreak/>
        <w:t>[</w:t>
      </w:r>
      <w:r>
        <w:rPr>
          <w:rFonts w:ascii="Times New Roman" w:hAnsi="Times New Roman"/>
          <w:i/>
          <w:sz w:val="24"/>
        </w:rPr>
        <w:t>Organization</w:t>
      </w:r>
      <w:r w:rsidRPr="000E3F03">
        <w:rPr>
          <w:rFonts w:ascii="Times New Roman" w:hAnsi="Times New Roman"/>
          <w:sz w:val="24"/>
        </w:rPr>
        <w:t>]</w:t>
      </w:r>
      <w:r>
        <w:rPr>
          <w:rFonts w:ascii="Times New Roman" w:hAnsi="Times New Roman"/>
          <w:i/>
          <w:sz w:val="24"/>
        </w:rPr>
        <w:t xml:space="preserve"> </w:t>
      </w:r>
      <w:r>
        <w:rPr>
          <w:rFonts w:ascii="Times New Roman" w:hAnsi="Times New Roman"/>
          <w:sz w:val="24"/>
        </w:rPr>
        <w:t xml:space="preserve">may also disclose PHI in this context </w:t>
      </w:r>
      <w:r w:rsidRPr="00C0428B">
        <w:rPr>
          <w:rFonts w:ascii="Times New Roman" w:hAnsi="Times New Roman"/>
          <w:sz w:val="24"/>
        </w:rPr>
        <w:t xml:space="preserve">pursuant to </w:t>
      </w:r>
      <w:r w:rsidR="00FA29E7">
        <w:rPr>
          <w:rFonts w:ascii="Times New Roman" w:hAnsi="Times New Roman"/>
          <w:sz w:val="24"/>
        </w:rPr>
        <w:t xml:space="preserve">another </w:t>
      </w:r>
      <w:r w:rsidRPr="00C0428B">
        <w:rPr>
          <w:rFonts w:ascii="Times New Roman" w:hAnsi="Times New Roman"/>
          <w:sz w:val="24"/>
        </w:rPr>
        <w:t>“specific authorization in law.”</w:t>
      </w:r>
      <w:r w:rsidR="000E3F03">
        <w:rPr>
          <w:rFonts w:ascii="Times New Roman" w:hAnsi="Times New Roman"/>
          <w:sz w:val="24"/>
        </w:rPr>
        <w:t xml:space="preserve"> </w:t>
      </w:r>
      <w:r>
        <w:rPr>
          <w:rFonts w:ascii="Times New Roman" w:hAnsi="Times New Roman"/>
          <w:sz w:val="24"/>
        </w:rPr>
        <w:t xml:space="preserve">For example, Minnesota Statutes section 256B.27 </w:t>
      </w:r>
      <w:r w:rsidR="001F6165">
        <w:rPr>
          <w:rFonts w:ascii="Times New Roman" w:hAnsi="Times New Roman"/>
          <w:sz w:val="24"/>
        </w:rPr>
        <w:t xml:space="preserve">provides that the Minnesota Commissioner of Human Services </w:t>
      </w:r>
      <w:r w:rsidR="001F6165" w:rsidRPr="001F6165">
        <w:rPr>
          <w:rFonts w:ascii="Times New Roman" w:hAnsi="Times New Roman"/>
          <w:sz w:val="24"/>
        </w:rPr>
        <w:t>shall be allowed access to all personal medical records of medical assistance recipients for the purposes of investigating vendor</w:t>
      </w:r>
      <w:r w:rsidR="001F6165">
        <w:rPr>
          <w:rFonts w:ascii="Times New Roman" w:hAnsi="Times New Roman"/>
          <w:sz w:val="24"/>
        </w:rPr>
        <w:t>s</w:t>
      </w:r>
      <w:r w:rsidR="001F6165" w:rsidRPr="001F6165">
        <w:rPr>
          <w:rFonts w:ascii="Times New Roman" w:hAnsi="Times New Roman"/>
          <w:sz w:val="24"/>
        </w:rPr>
        <w:t xml:space="preserve"> of medical care or </w:t>
      </w:r>
      <w:r w:rsidR="001F6165">
        <w:rPr>
          <w:rFonts w:ascii="Times New Roman" w:hAnsi="Times New Roman"/>
          <w:sz w:val="24"/>
        </w:rPr>
        <w:t>whether</w:t>
      </w:r>
      <w:r w:rsidR="001F6165" w:rsidRPr="001F6165">
        <w:rPr>
          <w:rFonts w:ascii="Times New Roman" w:hAnsi="Times New Roman"/>
          <w:sz w:val="24"/>
        </w:rPr>
        <w:t xml:space="preserve"> the medical care was medically necessary.</w:t>
      </w:r>
      <w:r w:rsidR="00AF2A71">
        <w:rPr>
          <w:rFonts w:ascii="Times New Roman" w:hAnsi="Times New Roman"/>
          <w:sz w:val="24"/>
        </w:rPr>
        <w:t xml:space="preserve">  </w:t>
      </w:r>
    </w:p>
    <w:p w:rsidR="009F31DC" w:rsidRDefault="00B67B50" w:rsidP="009F31DC">
      <w:pPr>
        <w:pStyle w:val="ListParagraph"/>
        <w:numPr>
          <w:ilvl w:val="1"/>
          <w:numId w:val="1"/>
        </w:numPr>
        <w:spacing w:after="240" w:line="240" w:lineRule="auto"/>
        <w:contextualSpacing w:val="0"/>
        <w:jc w:val="both"/>
        <w:rPr>
          <w:rFonts w:ascii="Times New Roman" w:hAnsi="Times New Roman"/>
          <w:b/>
          <w:sz w:val="24"/>
        </w:rPr>
      </w:pPr>
      <w:r>
        <w:rPr>
          <w:rFonts w:ascii="Times New Roman" w:hAnsi="Times New Roman"/>
          <w:b/>
          <w:sz w:val="24"/>
        </w:rPr>
        <w:t xml:space="preserve">Other </w:t>
      </w:r>
      <w:r w:rsidR="00F97929" w:rsidRPr="00705F0A">
        <w:rPr>
          <w:rFonts w:ascii="Times New Roman" w:hAnsi="Times New Roman"/>
          <w:b/>
          <w:sz w:val="24"/>
        </w:rPr>
        <w:t>Disclosures Permitted by HIPAA</w:t>
      </w:r>
    </w:p>
    <w:p w:rsidR="00890AF5" w:rsidRPr="00890AF5" w:rsidRDefault="00890AF5" w:rsidP="00890AF5">
      <w:pPr>
        <w:pStyle w:val="ListParagraph"/>
        <w:numPr>
          <w:ilvl w:val="2"/>
          <w:numId w:val="1"/>
        </w:numPr>
        <w:spacing w:after="240" w:line="240" w:lineRule="auto"/>
        <w:contextualSpacing w:val="0"/>
        <w:jc w:val="both"/>
        <w:rPr>
          <w:rFonts w:ascii="Times New Roman" w:hAnsi="Times New Roman"/>
          <w:sz w:val="24"/>
        </w:rPr>
      </w:pPr>
      <w:r>
        <w:rPr>
          <w:rFonts w:ascii="Times New Roman" w:hAnsi="Times New Roman"/>
          <w:b/>
          <w:sz w:val="24"/>
        </w:rPr>
        <w:t>Satisfactory Assurance</w:t>
      </w:r>
    </w:p>
    <w:p w:rsidR="009F31DC" w:rsidRPr="00705F0A" w:rsidRDefault="00F97929" w:rsidP="00F97929">
      <w:pPr>
        <w:spacing w:after="240"/>
        <w:ind w:left="360"/>
        <w:jc w:val="both"/>
      </w:pPr>
      <w:r w:rsidRPr="00AB2E85">
        <w:t xml:space="preserve">Although the Minnesota Health Records Act may only permit disclosure of health records </w:t>
      </w:r>
      <w:r w:rsidR="0017057E" w:rsidRPr="00AB2E85">
        <w:t>based on “specific authorization in law”</w:t>
      </w:r>
      <w:r w:rsidR="00186DB7">
        <w:t>—</w:t>
      </w:r>
      <w:r w:rsidR="0017057E" w:rsidRPr="00AB2E85">
        <w:t xml:space="preserve">which is generally interpreted as requiring an </w:t>
      </w:r>
      <w:r w:rsidRPr="00AB2E85">
        <w:t xml:space="preserve">order of a court or an administrative tribunal or </w:t>
      </w:r>
      <w:r w:rsidR="00430073" w:rsidRPr="00AB2E85">
        <w:t xml:space="preserve">some other </w:t>
      </w:r>
      <w:r w:rsidR="00AB2E85" w:rsidRPr="00AB2E85">
        <w:t xml:space="preserve">mandate of </w:t>
      </w:r>
      <w:r w:rsidR="00430073" w:rsidRPr="00AB2E85">
        <w:t>federal or state law</w:t>
      </w:r>
      <w:r w:rsidR="00186DB7">
        <w:t>—</w:t>
      </w:r>
      <w:r w:rsidRPr="00705F0A">
        <w:t xml:space="preserve">HIPAA </w:t>
      </w:r>
      <w:r w:rsidR="00A64235">
        <w:t>does not prohibit</w:t>
      </w:r>
      <w:r w:rsidRPr="00705F0A">
        <w:t xml:space="preserve"> </w:t>
      </w:r>
      <w:r w:rsidRPr="000E3F03">
        <w:t>[</w:t>
      </w:r>
      <w:r w:rsidRPr="00705F0A">
        <w:rPr>
          <w:i/>
        </w:rPr>
        <w:t>Organization</w:t>
      </w:r>
      <w:r w:rsidRPr="000E3F03">
        <w:t>]</w:t>
      </w:r>
      <w:r w:rsidR="000E3F03">
        <w:t>’s</w:t>
      </w:r>
      <w:r w:rsidRPr="00705F0A">
        <w:t xml:space="preserve"> use or disclos</w:t>
      </w:r>
      <w:r w:rsidR="005653E3">
        <w:t>ur</w:t>
      </w:r>
      <w:r w:rsidRPr="00705F0A">
        <w:t xml:space="preserve">e </w:t>
      </w:r>
      <w:r w:rsidR="005653E3">
        <w:t xml:space="preserve">of </w:t>
      </w:r>
      <w:r w:rsidRPr="00705F0A">
        <w:t xml:space="preserve">PHI, without the written authorization of the individual or giving the individual the opportunity to agree or object, in the course of any judicial or administrative proceeding as follows: </w:t>
      </w:r>
    </w:p>
    <w:p w:rsidR="00705F0A" w:rsidRPr="00705F0A" w:rsidRDefault="00705F0A" w:rsidP="00705F0A">
      <w:pPr>
        <w:pStyle w:val="ListParagraph"/>
        <w:numPr>
          <w:ilvl w:val="3"/>
          <w:numId w:val="6"/>
        </w:numPr>
        <w:spacing w:after="240" w:line="240" w:lineRule="auto"/>
        <w:contextualSpacing w:val="0"/>
        <w:jc w:val="both"/>
        <w:rPr>
          <w:rFonts w:ascii="Times New Roman" w:hAnsi="Times New Roman"/>
          <w:sz w:val="24"/>
        </w:rPr>
      </w:pPr>
      <w:r w:rsidRPr="00705F0A">
        <w:rPr>
          <w:rFonts w:ascii="Times New Roman" w:hAnsi="Times New Roman"/>
          <w:sz w:val="24"/>
        </w:rPr>
        <w:t xml:space="preserve">In response to a subpoena, discovery request, or other lawful process that is not accompanied by an order of a court or administrative tribunal, if </w:t>
      </w:r>
      <w:r w:rsidRPr="000E3F03">
        <w:rPr>
          <w:rFonts w:ascii="Times New Roman" w:hAnsi="Times New Roman"/>
          <w:sz w:val="24"/>
        </w:rPr>
        <w:t>[</w:t>
      </w:r>
      <w:r>
        <w:rPr>
          <w:rFonts w:ascii="Times New Roman" w:hAnsi="Times New Roman"/>
          <w:i/>
          <w:sz w:val="24"/>
        </w:rPr>
        <w:t>Organization</w:t>
      </w:r>
      <w:r w:rsidRPr="000E3F03">
        <w:rPr>
          <w:rFonts w:ascii="Times New Roman" w:hAnsi="Times New Roman"/>
          <w:sz w:val="24"/>
        </w:rPr>
        <w:t>]</w:t>
      </w:r>
      <w:r w:rsidRPr="00705F0A">
        <w:rPr>
          <w:rFonts w:ascii="Times New Roman" w:hAnsi="Times New Roman"/>
          <w:sz w:val="24"/>
        </w:rPr>
        <w:t xml:space="preserve"> receives </w:t>
      </w:r>
      <w:r>
        <w:rPr>
          <w:rFonts w:ascii="Times New Roman" w:hAnsi="Times New Roman"/>
          <w:sz w:val="24"/>
        </w:rPr>
        <w:t>“</w:t>
      </w:r>
      <w:r w:rsidRPr="00705F0A">
        <w:rPr>
          <w:rFonts w:ascii="Times New Roman" w:hAnsi="Times New Roman"/>
          <w:sz w:val="24"/>
        </w:rPr>
        <w:t>satisfactory assurance</w:t>
      </w:r>
      <w:r>
        <w:rPr>
          <w:rFonts w:ascii="Times New Roman" w:hAnsi="Times New Roman"/>
          <w:sz w:val="24"/>
        </w:rPr>
        <w:t>”</w:t>
      </w:r>
      <w:r w:rsidRPr="00705F0A">
        <w:rPr>
          <w:rFonts w:ascii="Times New Roman" w:hAnsi="Times New Roman"/>
          <w:sz w:val="24"/>
        </w:rPr>
        <w:t xml:space="preserve"> from the party seeking the information that reasonable efforts have been made by such party to ensure that the individual who is the subject of the PHI that has been requested has been given notice of the request.  </w:t>
      </w:r>
      <w:r>
        <w:rPr>
          <w:rFonts w:ascii="Times New Roman" w:hAnsi="Times New Roman"/>
          <w:sz w:val="24"/>
        </w:rPr>
        <w:t>Such “s</w:t>
      </w:r>
      <w:r w:rsidRPr="00705F0A">
        <w:rPr>
          <w:rFonts w:ascii="Times New Roman" w:hAnsi="Times New Roman"/>
          <w:sz w:val="24"/>
        </w:rPr>
        <w:t>atisfactory assurance</w:t>
      </w:r>
      <w:r>
        <w:rPr>
          <w:rFonts w:ascii="Times New Roman" w:hAnsi="Times New Roman"/>
          <w:sz w:val="24"/>
        </w:rPr>
        <w:t>”</w:t>
      </w:r>
      <w:r w:rsidRPr="00705F0A">
        <w:rPr>
          <w:rFonts w:ascii="Times New Roman" w:hAnsi="Times New Roman"/>
          <w:sz w:val="24"/>
        </w:rPr>
        <w:t xml:space="preserve"> shall require a written statement and accompanying documentation demonstrating that:</w:t>
      </w:r>
    </w:p>
    <w:p w:rsidR="00705F0A" w:rsidRPr="00705F0A" w:rsidRDefault="00705F0A" w:rsidP="00705F0A">
      <w:pPr>
        <w:pStyle w:val="ListParagraph"/>
        <w:numPr>
          <w:ilvl w:val="4"/>
          <w:numId w:val="6"/>
        </w:numPr>
        <w:spacing w:after="240" w:line="240" w:lineRule="auto"/>
        <w:contextualSpacing w:val="0"/>
        <w:jc w:val="both"/>
        <w:rPr>
          <w:rFonts w:ascii="Times New Roman" w:hAnsi="Times New Roman"/>
          <w:sz w:val="24"/>
        </w:rPr>
      </w:pPr>
      <w:r w:rsidRPr="00705F0A">
        <w:rPr>
          <w:rFonts w:ascii="Times New Roman" w:hAnsi="Times New Roman"/>
          <w:sz w:val="24"/>
        </w:rPr>
        <w:t xml:space="preserve">The party requesting such information has made a good faith attempt to provide written notice to the individual (or, if the individual’s location is unknown, to mail a notice to the individual’s last known address); </w:t>
      </w:r>
    </w:p>
    <w:p w:rsidR="00705F0A" w:rsidRPr="00705F0A" w:rsidRDefault="00705F0A" w:rsidP="00705F0A">
      <w:pPr>
        <w:pStyle w:val="ListParagraph"/>
        <w:numPr>
          <w:ilvl w:val="4"/>
          <w:numId w:val="6"/>
        </w:numPr>
        <w:spacing w:after="240" w:line="240" w:lineRule="auto"/>
        <w:contextualSpacing w:val="0"/>
        <w:jc w:val="both"/>
        <w:rPr>
          <w:rFonts w:ascii="Times New Roman" w:hAnsi="Times New Roman"/>
          <w:sz w:val="24"/>
        </w:rPr>
      </w:pPr>
      <w:r w:rsidRPr="00705F0A">
        <w:rPr>
          <w:rFonts w:ascii="Times New Roman" w:hAnsi="Times New Roman"/>
          <w:sz w:val="24"/>
        </w:rPr>
        <w:t xml:space="preserve">The notice included sufficient information about the litigation or proceeding in which the PHI is requested to permit the individual to raise an objection to the court or administrative tribunal; and </w:t>
      </w:r>
    </w:p>
    <w:p w:rsidR="00705F0A" w:rsidRPr="00FF6EE9" w:rsidRDefault="00705F0A" w:rsidP="00705F0A">
      <w:pPr>
        <w:pStyle w:val="ListParagraph"/>
        <w:numPr>
          <w:ilvl w:val="4"/>
          <w:numId w:val="6"/>
        </w:numPr>
        <w:spacing w:after="240" w:line="240" w:lineRule="auto"/>
        <w:contextualSpacing w:val="0"/>
        <w:jc w:val="both"/>
        <w:rPr>
          <w:rFonts w:ascii="Times New Roman" w:hAnsi="Times New Roman"/>
          <w:sz w:val="24"/>
        </w:rPr>
      </w:pPr>
      <w:r w:rsidRPr="00705F0A">
        <w:rPr>
          <w:rFonts w:ascii="Times New Roman" w:hAnsi="Times New Roman"/>
          <w:sz w:val="24"/>
        </w:rPr>
        <w:t xml:space="preserve">The time for the individual to raise objections to the court or administrative tribunal has elapsed, and: (A) No objections were filed; or (B) All objections filed by the individual have been resolved by the court or the administrative </w:t>
      </w:r>
      <w:r w:rsidRPr="00FF6EE9">
        <w:rPr>
          <w:rFonts w:ascii="Times New Roman" w:hAnsi="Times New Roman"/>
          <w:sz w:val="24"/>
        </w:rPr>
        <w:t>tribunal and the disclosures being sought are consistent with such resolution.</w:t>
      </w:r>
    </w:p>
    <w:p w:rsidR="00FF6EE9" w:rsidRPr="00FF6EE9" w:rsidRDefault="00FF6EE9" w:rsidP="00FF6EE9">
      <w:pPr>
        <w:pStyle w:val="OutlineinNormal"/>
        <w:numPr>
          <w:ilvl w:val="3"/>
          <w:numId w:val="6"/>
        </w:numPr>
        <w:spacing w:before="0"/>
        <w:jc w:val="both"/>
        <w:rPr>
          <w:sz w:val="24"/>
        </w:rPr>
      </w:pPr>
      <w:r w:rsidRPr="00FF6EE9">
        <w:rPr>
          <w:sz w:val="24"/>
        </w:rPr>
        <w:t xml:space="preserve">In response to a subpoena, discovery request, or other lawful process that is not accompanied by an order of a court or administrative tribunal, if </w:t>
      </w:r>
      <w:r w:rsidRPr="000E3F03">
        <w:rPr>
          <w:sz w:val="24"/>
        </w:rPr>
        <w:t>[</w:t>
      </w:r>
      <w:r>
        <w:rPr>
          <w:bCs/>
          <w:i/>
          <w:sz w:val="24"/>
        </w:rPr>
        <w:t>Organization</w:t>
      </w:r>
      <w:r w:rsidRPr="000E3F03">
        <w:rPr>
          <w:bCs/>
          <w:sz w:val="24"/>
        </w:rPr>
        <w:t>]</w:t>
      </w:r>
      <w:r w:rsidRPr="00FF6EE9">
        <w:rPr>
          <w:sz w:val="24"/>
        </w:rPr>
        <w:t xml:space="preserve"> receives satisfactory assurance from the party seeking the information that reasonable efforts have been made by such party to secure a </w:t>
      </w:r>
      <w:r w:rsidR="00890AF5">
        <w:rPr>
          <w:sz w:val="24"/>
        </w:rPr>
        <w:t>“</w:t>
      </w:r>
      <w:r w:rsidRPr="00FF6EE9">
        <w:rPr>
          <w:sz w:val="24"/>
        </w:rPr>
        <w:t>qualified protective order</w:t>
      </w:r>
      <w:r w:rsidR="00890AF5">
        <w:rPr>
          <w:sz w:val="24"/>
        </w:rPr>
        <w:t>”</w:t>
      </w:r>
      <w:r w:rsidRPr="00FF6EE9">
        <w:rPr>
          <w:sz w:val="24"/>
        </w:rPr>
        <w:t xml:space="preserve"> that </w:t>
      </w:r>
      <w:r>
        <w:rPr>
          <w:sz w:val="24"/>
        </w:rPr>
        <w:t xml:space="preserve">meets the requirements of this </w:t>
      </w:r>
      <w:r w:rsidR="003167A5">
        <w:rPr>
          <w:sz w:val="24"/>
        </w:rPr>
        <w:t>p</w:t>
      </w:r>
      <w:r w:rsidRPr="00FF6EE9">
        <w:rPr>
          <w:sz w:val="24"/>
        </w:rPr>
        <w:t xml:space="preserve">olicy.  </w:t>
      </w:r>
      <w:r w:rsidR="00890AF5">
        <w:rPr>
          <w:sz w:val="24"/>
        </w:rPr>
        <w:t>Such “s</w:t>
      </w:r>
      <w:r w:rsidRPr="00FF6EE9">
        <w:rPr>
          <w:sz w:val="24"/>
        </w:rPr>
        <w:t>atisfactory assurance</w:t>
      </w:r>
      <w:r w:rsidR="00890AF5">
        <w:rPr>
          <w:sz w:val="24"/>
        </w:rPr>
        <w:t>”</w:t>
      </w:r>
      <w:r w:rsidRPr="00FF6EE9">
        <w:rPr>
          <w:sz w:val="24"/>
        </w:rPr>
        <w:t xml:space="preserve"> shall require a written statement and accompanying documentation demonstrating that:</w:t>
      </w:r>
    </w:p>
    <w:p w:rsidR="00FF6EE9" w:rsidRPr="00FF6EE9" w:rsidRDefault="00FF6EE9" w:rsidP="00FF6EE9">
      <w:pPr>
        <w:pStyle w:val="ListParagraph"/>
        <w:numPr>
          <w:ilvl w:val="4"/>
          <w:numId w:val="6"/>
        </w:numPr>
        <w:spacing w:after="240" w:line="240" w:lineRule="auto"/>
        <w:contextualSpacing w:val="0"/>
        <w:jc w:val="both"/>
        <w:rPr>
          <w:rFonts w:ascii="Times New Roman" w:eastAsia="Times New Roman" w:hAnsi="Times New Roman"/>
          <w:sz w:val="24"/>
        </w:rPr>
      </w:pPr>
      <w:r w:rsidRPr="00FF6EE9">
        <w:rPr>
          <w:rFonts w:ascii="Times New Roman" w:eastAsia="Times New Roman" w:hAnsi="Times New Roman"/>
          <w:sz w:val="24"/>
        </w:rPr>
        <w:lastRenderedPageBreak/>
        <w:t xml:space="preserve">The parties to the dispute giving rise to the request for information have agreed to a qualified protective order and have presented it to the court or administrative tribunal with jurisdiction over the dispute; or </w:t>
      </w:r>
    </w:p>
    <w:p w:rsidR="00FF6EE9" w:rsidRDefault="00FF6EE9" w:rsidP="00FF6EE9">
      <w:pPr>
        <w:pStyle w:val="ListParagraph"/>
        <w:numPr>
          <w:ilvl w:val="4"/>
          <w:numId w:val="6"/>
        </w:numPr>
        <w:spacing w:after="240" w:line="240" w:lineRule="auto"/>
        <w:contextualSpacing w:val="0"/>
        <w:jc w:val="both"/>
        <w:rPr>
          <w:rFonts w:ascii="Times New Roman" w:eastAsia="Times New Roman" w:hAnsi="Times New Roman"/>
          <w:sz w:val="24"/>
        </w:rPr>
      </w:pPr>
      <w:r w:rsidRPr="00FF6EE9">
        <w:rPr>
          <w:rFonts w:ascii="Times New Roman" w:eastAsia="Times New Roman" w:hAnsi="Times New Roman"/>
          <w:sz w:val="24"/>
        </w:rPr>
        <w:t>The party seeking the PHI has requested a qualified protective order from such court or administrative tribunal.</w:t>
      </w:r>
    </w:p>
    <w:p w:rsidR="00890AF5" w:rsidRPr="00890AF5" w:rsidRDefault="00890AF5" w:rsidP="00890AF5">
      <w:pPr>
        <w:pStyle w:val="ListParagraph"/>
        <w:numPr>
          <w:ilvl w:val="2"/>
          <w:numId w:val="1"/>
        </w:numPr>
        <w:spacing w:after="240" w:line="240" w:lineRule="auto"/>
        <w:contextualSpacing w:val="0"/>
        <w:jc w:val="both"/>
        <w:rPr>
          <w:rFonts w:ascii="Times New Roman" w:hAnsi="Times New Roman"/>
          <w:b/>
          <w:sz w:val="24"/>
        </w:rPr>
      </w:pPr>
      <w:r w:rsidRPr="00890AF5">
        <w:rPr>
          <w:rFonts w:ascii="Times New Roman" w:hAnsi="Times New Roman"/>
          <w:b/>
          <w:sz w:val="24"/>
        </w:rPr>
        <w:t>A Qualified Protective Order</w:t>
      </w:r>
    </w:p>
    <w:p w:rsidR="00890AF5" w:rsidRDefault="003167A5" w:rsidP="00890AF5">
      <w:pPr>
        <w:widowControl w:val="0"/>
        <w:spacing w:after="240"/>
        <w:ind w:left="1080"/>
        <w:jc w:val="both"/>
        <w:rPr>
          <w:rFonts w:eastAsia="Tahoma" w:cs="Tahoma"/>
        </w:rPr>
      </w:pPr>
      <w:r>
        <w:rPr>
          <w:rFonts w:eastAsia="Tahoma" w:cs="Tahoma"/>
        </w:rPr>
        <w:t>For the purposes of this p</w:t>
      </w:r>
      <w:r w:rsidR="00890AF5">
        <w:rPr>
          <w:rFonts w:eastAsia="Tahoma" w:cs="Tahoma"/>
        </w:rPr>
        <w:t xml:space="preserve">olicy a “qualified protective order” with respect to PHI means an order of a court or of an administrative tribunal or a stipulation by the parties to the litigation or administrative </w:t>
      </w:r>
      <w:proofErr w:type="gramStart"/>
      <w:r w:rsidR="00890AF5">
        <w:rPr>
          <w:rFonts w:eastAsia="Tahoma" w:cs="Tahoma"/>
        </w:rPr>
        <w:t>proceeding</w:t>
      </w:r>
      <w:proofErr w:type="gramEnd"/>
      <w:r w:rsidR="00890AF5">
        <w:rPr>
          <w:rFonts w:eastAsia="Tahoma" w:cs="Tahoma"/>
        </w:rPr>
        <w:t xml:space="preserve"> that:</w:t>
      </w:r>
    </w:p>
    <w:p w:rsidR="00890AF5" w:rsidRPr="00890AF5" w:rsidRDefault="00890AF5" w:rsidP="00681FA4">
      <w:pPr>
        <w:widowControl w:val="0"/>
        <w:numPr>
          <w:ilvl w:val="3"/>
          <w:numId w:val="7"/>
        </w:numPr>
        <w:spacing w:after="240"/>
        <w:jc w:val="both"/>
      </w:pPr>
      <w:r>
        <w:t>Prohibits the p</w:t>
      </w:r>
      <w:r w:rsidRPr="00890AF5">
        <w:t>arties from using or disclosing the PHI for any purpose other than the litigation or proceeding for which such information was requested; and</w:t>
      </w:r>
    </w:p>
    <w:p w:rsidR="00890AF5" w:rsidRPr="00890AF5" w:rsidRDefault="00890AF5" w:rsidP="00681FA4">
      <w:pPr>
        <w:pStyle w:val="ListParagraph"/>
        <w:numPr>
          <w:ilvl w:val="3"/>
          <w:numId w:val="7"/>
        </w:numPr>
        <w:spacing w:after="240" w:line="240" w:lineRule="auto"/>
        <w:contextualSpacing w:val="0"/>
        <w:jc w:val="both"/>
        <w:rPr>
          <w:rFonts w:ascii="Times New Roman" w:hAnsi="Times New Roman"/>
          <w:sz w:val="24"/>
        </w:rPr>
      </w:pPr>
      <w:r w:rsidRPr="00890AF5">
        <w:rPr>
          <w:rFonts w:ascii="Times New Roman" w:hAnsi="Times New Roman"/>
          <w:sz w:val="24"/>
        </w:rPr>
        <w:t>Requires the return or destruction of the PHI (including all copies made) at the end of the litigation or proceeding.</w:t>
      </w:r>
    </w:p>
    <w:p w:rsidR="00890AF5" w:rsidRPr="00890AF5" w:rsidRDefault="00890AF5" w:rsidP="00890AF5">
      <w:pPr>
        <w:pStyle w:val="ListParagraph"/>
        <w:numPr>
          <w:ilvl w:val="2"/>
          <w:numId w:val="1"/>
        </w:numPr>
        <w:spacing w:after="240" w:line="240" w:lineRule="auto"/>
        <w:contextualSpacing w:val="0"/>
        <w:jc w:val="both"/>
        <w:rPr>
          <w:rFonts w:ascii="Times New Roman" w:hAnsi="Times New Roman"/>
          <w:b/>
          <w:sz w:val="24"/>
        </w:rPr>
      </w:pPr>
      <w:r w:rsidRPr="00890AF5">
        <w:rPr>
          <w:rFonts w:ascii="Times New Roman" w:hAnsi="Times New Roman"/>
          <w:b/>
          <w:sz w:val="24"/>
        </w:rPr>
        <w:t>Disclosure without Satisfactory Assurance</w:t>
      </w:r>
    </w:p>
    <w:p w:rsidR="00890AF5" w:rsidRDefault="00890AF5" w:rsidP="00890AF5">
      <w:pPr>
        <w:widowControl w:val="0"/>
        <w:spacing w:after="240"/>
        <w:ind w:left="1080"/>
        <w:jc w:val="both"/>
        <w:rPr>
          <w:rFonts w:eastAsia="Tahoma" w:cs="Tahoma"/>
          <w:b/>
        </w:rPr>
      </w:pPr>
      <w:r>
        <w:t xml:space="preserve">HIPAA permits </w:t>
      </w:r>
      <w:r w:rsidRPr="000E3F03">
        <w:t>[</w:t>
      </w:r>
      <w:r>
        <w:rPr>
          <w:i/>
        </w:rPr>
        <w:t>Organization</w:t>
      </w:r>
      <w:r w:rsidRPr="000E3F03">
        <w:t>]</w:t>
      </w:r>
      <w:r>
        <w:t xml:space="preserve"> to </w:t>
      </w:r>
      <w:r>
        <w:rPr>
          <w:rFonts w:eastAsia="Tahoma" w:cs="Tahoma"/>
        </w:rPr>
        <w:t>disclose PHI in response to a subpoena, discovery request, or other lawful process that is not accompanied by an order of a court or administrative tribunal, without receiving satisfactory assurance, if:</w:t>
      </w:r>
    </w:p>
    <w:p w:rsidR="00890AF5" w:rsidRDefault="00890AF5" w:rsidP="00681FA4">
      <w:pPr>
        <w:widowControl w:val="0"/>
        <w:numPr>
          <w:ilvl w:val="3"/>
          <w:numId w:val="8"/>
        </w:numPr>
        <w:spacing w:after="240"/>
        <w:jc w:val="both"/>
        <w:rPr>
          <w:rFonts w:eastAsia="Arial" w:cs="Arial"/>
        </w:rPr>
      </w:pPr>
      <w:r w:rsidRPr="000E3F03">
        <w:rPr>
          <w:rFonts w:eastAsia="Arial" w:cs="Arial"/>
        </w:rPr>
        <w:t>[</w:t>
      </w:r>
      <w:r>
        <w:rPr>
          <w:rFonts w:eastAsia="Arial" w:cs="Arial"/>
          <w:i/>
        </w:rPr>
        <w:t>Organization</w:t>
      </w:r>
      <w:r w:rsidRPr="000E3F03">
        <w:rPr>
          <w:rFonts w:eastAsia="Arial" w:cs="Arial"/>
        </w:rPr>
        <w:t>]</w:t>
      </w:r>
      <w:r>
        <w:rPr>
          <w:rFonts w:eastAsia="Arial" w:cs="Arial"/>
        </w:rPr>
        <w:t xml:space="preserve"> makes reasonable efforts to provide notice to the individual, including sufficient information about the litigation or proceeding in which the PHI is requested, to permit the individual to raise an objection to the court or administrative tribunal; or</w:t>
      </w:r>
    </w:p>
    <w:p w:rsidR="00890AF5" w:rsidRDefault="00890AF5" w:rsidP="00681FA4">
      <w:pPr>
        <w:widowControl w:val="0"/>
        <w:numPr>
          <w:ilvl w:val="3"/>
          <w:numId w:val="8"/>
        </w:numPr>
        <w:spacing w:after="240"/>
        <w:jc w:val="both"/>
      </w:pPr>
      <w:r w:rsidRPr="000E3F03">
        <w:t>[</w:t>
      </w:r>
      <w:r>
        <w:rPr>
          <w:i/>
        </w:rPr>
        <w:t>Organization</w:t>
      </w:r>
      <w:r w:rsidRPr="000E3F03">
        <w:t>]</w:t>
      </w:r>
      <w:r>
        <w:t xml:space="preserve"> makes reasonable efforts to provide notice to the individual, including sufficient information about the litigation or proceeding in which the PHI is requested, to permit the individual to seek a qualified protective order.</w:t>
      </w:r>
    </w:p>
    <w:p w:rsidR="00E87BEE" w:rsidRPr="001420B2" w:rsidRDefault="000E3F03" w:rsidP="00E87BEE">
      <w:pPr>
        <w:widowControl w:val="0"/>
        <w:shd w:val="clear" w:color="auto" w:fill="D9D9D9" w:themeFill="background1" w:themeFillShade="D9"/>
        <w:spacing w:after="240"/>
        <w:ind w:left="720"/>
        <w:jc w:val="both"/>
      </w:pPr>
      <w:proofErr w:type="gramStart"/>
      <w:r>
        <w:rPr>
          <w:rFonts w:eastAsia="Times New Roman"/>
          <w:b/>
          <w:u w:val="single"/>
        </w:rPr>
        <w:t>Substance Use Disorder Patient</w:t>
      </w:r>
      <w:r w:rsidR="00E87BEE">
        <w:rPr>
          <w:rFonts w:eastAsia="Times New Roman"/>
          <w:b/>
          <w:u w:val="single"/>
        </w:rPr>
        <w:t xml:space="preserve"> </w:t>
      </w:r>
      <w:r w:rsidR="00CB154B">
        <w:rPr>
          <w:rFonts w:eastAsia="Times New Roman"/>
          <w:b/>
          <w:u w:val="single"/>
        </w:rPr>
        <w:t>Records</w:t>
      </w:r>
      <w:r w:rsidR="00E87BEE">
        <w:rPr>
          <w:rFonts w:eastAsia="Times New Roman"/>
          <w:b/>
          <w:u w:val="single"/>
        </w:rPr>
        <w:t>.</w:t>
      </w:r>
      <w:proofErr w:type="gramEnd"/>
      <w:r w:rsidR="00E87BEE">
        <w:rPr>
          <w:rFonts w:eastAsia="Times New Roman"/>
          <w:b/>
        </w:rPr>
        <w:t xml:space="preserve">  </w:t>
      </w:r>
      <w:r w:rsidR="00E87BEE" w:rsidRPr="000E3F03">
        <w:rPr>
          <w:rFonts w:eastAsia="Times New Roman"/>
          <w:b/>
        </w:rPr>
        <w:t>[</w:t>
      </w:r>
      <w:r w:rsidR="00E87BEE">
        <w:rPr>
          <w:rFonts w:eastAsia="Times New Roman"/>
          <w:b/>
          <w:i/>
        </w:rPr>
        <w:t>Organization</w:t>
      </w:r>
      <w:r w:rsidR="00E87BEE" w:rsidRPr="000E3F03">
        <w:rPr>
          <w:rFonts w:eastAsia="Times New Roman"/>
          <w:b/>
        </w:rPr>
        <w:t>]</w:t>
      </w:r>
      <w:r w:rsidR="00E87BEE">
        <w:rPr>
          <w:rFonts w:eastAsia="Times New Roman"/>
          <w:b/>
        </w:rPr>
        <w:t xml:space="preserve"> </w:t>
      </w:r>
      <w:r>
        <w:rPr>
          <w:rFonts w:eastAsia="Times New Roman"/>
          <w:b/>
        </w:rPr>
        <w:t>may</w:t>
      </w:r>
      <w:r w:rsidR="00E87BEE">
        <w:rPr>
          <w:rFonts w:eastAsia="Times New Roman"/>
          <w:b/>
        </w:rPr>
        <w:t xml:space="preserve"> disclose </w:t>
      </w:r>
      <w:r>
        <w:rPr>
          <w:rFonts w:eastAsia="Times New Roman"/>
          <w:b/>
        </w:rPr>
        <w:t xml:space="preserve">substance use disorder patient </w:t>
      </w:r>
      <w:r w:rsidR="00CB154B">
        <w:rPr>
          <w:rFonts w:eastAsia="Times New Roman"/>
          <w:b/>
        </w:rPr>
        <w:t>records</w:t>
      </w:r>
      <w:r w:rsidR="00E87BEE">
        <w:rPr>
          <w:rFonts w:eastAsia="Times New Roman"/>
          <w:b/>
        </w:rPr>
        <w:t xml:space="preserve"> in response to a subpoena if the patient signs a consent permitting a release of the information requested in the subpoena. However, if the patient d</w:t>
      </w:r>
      <w:r w:rsidR="0042288B">
        <w:rPr>
          <w:rFonts w:eastAsia="Times New Roman"/>
          <w:b/>
        </w:rPr>
        <w:t>oes</w:t>
      </w:r>
      <w:r w:rsidR="00E87BEE">
        <w:rPr>
          <w:rFonts w:eastAsia="Times New Roman"/>
          <w:b/>
        </w:rPr>
        <w:t xml:space="preserve"> not provide consent, </w:t>
      </w:r>
      <w:r w:rsidR="00E87BEE" w:rsidRPr="000E3F03">
        <w:rPr>
          <w:rFonts w:eastAsia="Times New Roman"/>
          <w:b/>
        </w:rPr>
        <w:t>[</w:t>
      </w:r>
      <w:r w:rsidR="00E87BEE">
        <w:rPr>
          <w:rFonts w:eastAsia="Times New Roman"/>
          <w:b/>
          <w:i/>
        </w:rPr>
        <w:t>Organization</w:t>
      </w:r>
      <w:r w:rsidR="00E87BEE" w:rsidRPr="000E3F03">
        <w:rPr>
          <w:rFonts w:eastAsia="Times New Roman"/>
          <w:b/>
        </w:rPr>
        <w:t>]</w:t>
      </w:r>
      <w:r w:rsidR="00E87BEE">
        <w:rPr>
          <w:rFonts w:eastAsia="Times New Roman"/>
          <w:b/>
        </w:rPr>
        <w:t xml:space="preserve"> cannot release </w:t>
      </w:r>
      <w:r>
        <w:rPr>
          <w:rFonts w:eastAsia="Times New Roman"/>
          <w:b/>
        </w:rPr>
        <w:t xml:space="preserve">substance use disorder patient </w:t>
      </w:r>
      <w:r w:rsidR="00CB154B">
        <w:rPr>
          <w:rFonts w:eastAsia="Times New Roman"/>
          <w:b/>
        </w:rPr>
        <w:t>records</w:t>
      </w:r>
      <w:r w:rsidR="00E87BEE">
        <w:rPr>
          <w:rFonts w:eastAsia="Times New Roman"/>
          <w:b/>
        </w:rPr>
        <w:t xml:space="preserve"> unless a court </w:t>
      </w:r>
      <w:r>
        <w:rPr>
          <w:rFonts w:eastAsia="Times New Roman"/>
          <w:b/>
        </w:rPr>
        <w:t>also</w:t>
      </w:r>
      <w:r w:rsidR="00E87BEE">
        <w:rPr>
          <w:rFonts w:eastAsia="Times New Roman"/>
          <w:b/>
        </w:rPr>
        <w:t xml:space="preserve"> issued an order that complies with </w:t>
      </w:r>
      <w:r w:rsidR="00EC3F16">
        <w:rPr>
          <w:rFonts w:eastAsia="Times New Roman"/>
          <w:b/>
        </w:rPr>
        <w:t xml:space="preserve">42 C.F.R. </w:t>
      </w:r>
      <w:r w:rsidR="00E87BEE">
        <w:rPr>
          <w:rFonts w:eastAsia="Times New Roman"/>
          <w:b/>
        </w:rPr>
        <w:t>Part 2.</w:t>
      </w:r>
      <w:r>
        <w:rPr>
          <w:rFonts w:eastAsia="Times New Roman"/>
          <w:b/>
        </w:rPr>
        <w:t xml:space="preserve"> </w:t>
      </w:r>
      <w:r w:rsidR="001420B2">
        <w:rPr>
          <w:rFonts w:eastAsia="Times New Roman"/>
          <w:b/>
          <w:i/>
        </w:rPr>
        <w:t xml:space="preserve">See </w:t>
      </w:r>
      <w:r w:rsidR="001420B2">
        <w:rPr>
          <w:rFonts w:eastAsia="Times New Roman"/>
          <w:b/>
        </w:rPr>
        <w:t>42 C.F.R. § 2.61.</w:t>
      </w:r>
    </w:p>
    <w:p w:rsidR="00E87BEE" w:rsidRDefault="00E87BEE" w:rsidP="00E87BEE">
      <w:pPr>
        <w:widowControl w:val="0"/>
        <w:shd w:val="clear" w:color="auto" w:fill="D9D9D9" w:themeFill="background1" w:themeFillShade="D9"/>
        <w:spacing w:after="240"/>
        <w:ind w:left="720"/>
        <w:jc w:val="both"/>
        <w:rPr>
          <w:rFonts w:eastAsia="Tahoma" w:cs="Tahoma"/>
          <w:b/>
        </w:rPr>
      </w:pPr>
      <w:r>
        <w:rPr>
          <w:rFonts w:eastAsia="Tahoma" w:cs="Tahoma"/>
          <w:b/>
          <w:u w:val="single"/>
        </w:rPr>
        <w:t>Witness Testimony.</w:t>
      </w:r>
      <w:r>
        <w:rPr>
          <w:rFonts w:eastAsia="Tahoma" w:cs="Tahoma"/>
          <w:b/>
        </w:rPr>
        <w:t xml:space="preserve">  </w:t>
      </w:r>
      <w:r w:rsidR="00EC3F16">
        <w:rPr>
          <w:rFonts w:eastAsia="Tahoma" w:cs="Tahoma"/>
          <w:b/>
        </w:rPr>
        <w:t>Physicians, surgeons, dentists, chiropractors, r</w:t>
      </w:r>
      <w:r>
        <w:rPr>
          <w:rFonts w:eastAsia="Tahoma" w:cs="Tahoma"/>
          <w:b/>
        </w:rPr>
        <w:t>egistered nurses, psychologists, consulting psychologists, licensed social workers, and chemical dependency counselors</w:t>
      </w:r>
      <w:r w:rsidR="00EC3F16">
        <w:rPr>
          <w:rFonts w:eastAsia="Tahoma" w:cs="Tahoma"/>
          <w:b/>
        </w:rPr>
        <w:t>, among others,</w:t>
      </w:r>
      <w:r>
        <w:rPr>
          <w:rFonts w:eastAsia="Tahoma" w:cs="Tahoma"/>
          <w:b/>
        </w:rPr>
        <w:t xml:space="preserve"> must comply with Minnesota Statutes section 595.02 when testifying as a witness or when involved in discussions pursuant to an action for malpractice, error, mistake, or failure to cure against </w:t>
      </w:r>
      <w:r w:rsidRPr="000E3F03">
        <w:rPr>
          <w:rFonts w:eastAsia="Tahoma" w:cs="Tahoma"/>
          <w:b/>
        </w:rPr>
        <w:t>[</w:t>
      </w:r>
      <w:r>
        <w:rPr>
          <w:rFonts w:eastAsia="Tahoma" w:cs="Tahoma"/>
          <w:b/>
          <w:i/>
        </w:rPr>
        <w:t>Organization</w:t>
      </w:r>
      <w:r w:rsidRPr="000E3F03">
        <w:rPr>
          <w:rFonts w:eastAsia="Tahoma" w:cs="Tahoma"/>
          <w:b/>
        </w:rPr>
        <w:t>]</w:t>
      </w:r>
      <w:r>
        <w:rPr>
          <w:rFonts w:eastAsia="Tahoma" w:cs="Tahoma"/>
          <w:b/>
        </w:rPr>
        <w:t>.</w:t>
      </w:r>
    </w:p>
    <w:p w:rsidR="001420B2" w:rsidRPr="00890AF5" w:rsidRDefault="001420B2" w:rsidP="001420B2">
      <w:pPr>
        <w:pStyle w:val="ListParagraph"/>
        <w:numPr>
          <w:ilvl w:val="2"/>
          <w:numId w:val="1"/>
        </w:numPr>
        <w:spacing w:after="240" w:line="240" w:lineRule="auto"/>
        <w:contextualSpacing w:val="0"/>
        <w:jc w:val="both"/>
        <w:rPr>
          <w:rFonts w:ascii="Times New Roman" w:hAnsi="Times New Roman"/>
          <w:b/>
          <w:sz w:val="24"/>
        </w:rPr>
      </w:pPr>
      <w:r>
        <w:rPr>
          <w:rFonts w:ascii="Times New Roman" w:hAnsi="Times New Roman"/>
          <w:b/>
          <w:sz w:val="24"/>
        </w:rPr>
        <w:t xml:space="preserve">Documenting </w:t>
      </w:r>
      <w:r w:rsidRPr="00890AF5">
        <w:rPr>
          <w:rFonts w:ascii="Times New Roman" w:hAnsi="Times New Roman"/>
          <w:b/>
          <w:sz w:val="24"/>
        </w:rPr>
        <w:t>Disclosure</w:t>
      </w:r>
      <w:r>
        <w:rPr>
          <w:rFonts w:ascii="Times New Roman" w:hAnsi="Times New Roman"/>
          <w:b/>
          <w:sz w:val="24"/>
        </w:rPr>
        <w:t>s of PHI under this Policy</w:t>
      </w:r>
    </w:p>
    <w:p w:rsidR="00705F0A" w:rsidRPr="001420B2" w:rsidRDefault="001420B2" w:rsidP="001420B2">
      <w:pPr>
        <w:spacing w:after="240"/>
        <w:ind w:left="720"/>
        <w:jc w:val="both"/>
      </w:pPr>
      <w:r w:rsidRPr="000E3F03">
        <w:lastRenderedPageBreak/>
        <w:t>[</w:t>
      </w:r>
      <w:r>
        <w:rPr>
          <w:i/>
        </w:rPr>
        <w:t>Organization]</w:t>
      </w:r>
      <w:r w:rsidRPr="001420B2">
        <w:t xml:space="preserve"> will docum</w:t>
      </w:r>
      <w:r w:rsidR="003167A5">
        <w:t>ent any disclosures under this p</w:t>
      </w:r>
      <w:r w:rsidRPr="001420B2">
        <w:t>olicy and will retain the documentation associated with the disclosure for at least six (6) years from the date of the disclosure.</w:t>
      </w:r>
    </w:p>
    <w:p w:rsidR="007A69EC" w:rsidRPr="001420B2" w:rsidRDefault="001420B2" w:rsidP="00FA0150">
      <w:pPr>
        <w:pStyle w:val="ListParagraph"/>
        <w:numPr>
          <w:ilvl w:val="0"/>
          <w:numId w:val="1"/>
        </w:numPr>
        <w:spacing w:after="240" w:line="240" w:lineRule="auto"/>
        <w:contextualSpacing w:val="0"/>
        <w:jc w:val="both"/>
        <w:rPr>
          <w:rFonts w:ascii="Times New Roman" w:hAnsi="Times New Roman"/>
          <w:b/>
          <w:sz w:val="24"/>
          <w:u w:val="single"/>
        </w:rPr>
      </w:pPr>
      <w:r w:rsidRPr="00705F0A">
        <w:rPr>
          <w:rFonts w:ascii="Times New Roman" w:hAnsi="Times New Roman"/>
          <w:b/>
          <w:sz w:val="24"/>
          <w:u w:val="single"/>
        </w:rPr>
        <w:t>Disclosures for Judicial and Administrative Proceeding</w:t>
      </w:r>
      <w:r w:rsidRPr="001420B2">
        <w:rPr>
          <w:rFonts w:ascii="Times New Roman" w:hAnsi="Times New Roman"/>
          <w:b/>
          <w:sz w:val="24"/>
          <w:u w:val="single"/>
        </w:rPr>
        <w:t>s Procedure</w:t>
      </w:r>
      <w:r w:rsidR="0042288B">
        <w:rPr>
          <w:rFonts w:ascii="Times New Roman" w:hAnsi="Times New Roman"/>
          <w:b/>
          <w:sz w:val="24"/>
          <w:u w:val="single"/>
        </w:rPr>
        <w:t>:</w:t>
      </w:r>
    </w:p>
    <w:p w:rsidR="00390620" w:rsidRDefault="00B31E14" w:rsidP="001420B2">
      <w:pPr>
        <w:pStyle w:val="ListParagraph"/>
        <w:numPr>
          <w:ilvl w:val="1"/>
          <w:numId w:val="1"/>
        </w:numPr>
        <w:spacing w:after="240" w:line="240" w:lineRule="auto"/>
        <w:contextualSpacing w:val="0"/>
        <w:jc w:val="both"/>
        <w:rPr>
          <w:rFonts w:ascii="Times New Roman" w:hAnsi="Times New Roman"/>
          <w:sz w:val="24"/>
        </w:rPr>
      </w:pPr>
      <w:r w:rsidRPr="000E3F03">
        <w:rPr>
          <w:rFonts w:ascii="Times New Roman" w:hAnsi="Times New Roman"/>
          <w:sz w:val="24"/>
        </w:rPr>
        <w:t>[</w:t>
      </w:r>
      <w:r>
        <w:rPr>
          <w:rFonts w:ascii="Times New Roman" w:hAnsi="Times New Roman"/>
          <w:i/>
          <w:sz w:val="24"/>
        </w:rPr>
        <w:t>Organization</w:t>
      </w:r>
      <w:r w:rsidR="001420B2" w:rsidRPr="000E3F03">
        <w:rPr>
          <w:rFonts w:ascii="Times New Roman" w:hAnsi="Times New Roman"/>
          <w:sz w:val="24"/>
        </w:rPr>
        <w:t>]</w:t>
      </w:r>
      <w:r>
        <w:rPr>
          <w:rFonts w:ascii="Times New Roman" w:hAnsi="Times New Roman"/>
          <w:sz w:val="24"/>
        </w:rPr>
        <w:t>’s</w:t>
      </w:r>
      <w:r w:rsidR="001420B2">
        <w:rPr>
          <w:rFonts w:ascii="Times New Roman" w:hAnsi="Times New Roman"/>
          <w:i/>
          <w:sz w:val="24"/>
        </w:rPr>
        <w:t xml:space="preserve"> </w:t>
      </w:r>
      <w:r w:rsidR="001420B2">
        <w:rPr>
          <w:rFonts w:ascii="Times New Roman" w:hAnsi="Times New Roman"/>
          <w:sz w:val="24"/>
        </w:rPr>
        <w:t>Privacy Official or designee wil</w:t>
      </w:r>
      <w:r w:rsidR="003167A5">
        <w:rPr>
          <w:rFonts w:ascii="Times New Roman" w:hAnsi="Times New Roman"/>
          <w:sz w:val="24"/>
        </w:rPr>
        <w:t>l comply with the above stated p</w:t>
      </w:r>
      <w:r w:rsidR="001420B2">
        <w:rPr>
          <w:rFonts w:ascii="Times New Roman" w:hAnsi="Times New Roman"/>
          <w:sz w:val="24"/>
        </w:rPr>
        <w:t>olicy and ensure the compliance of other Workforce members.</w:t>
      </w:r>
    </w:p>
    <w:p w:rsidR="001420B2" w:rsidRDefault="00390620" w:rsidP="001420B2">
      <w:pPr>
        <w:pStyle w:val="ListParagraph"/>
        <w:numPr>
          <w:ilvl w:val="1"/>
          <w:numId w:val="1"/>
        </w:numPr>
        <w:spacing w:after="240" w:line="240" w:lineRule="auto"/>
        <w:contextualSpacing w:val="0"/>
        <w:jc w:val="both"/>
        <w:rPr>
          <w:rFonts w:ascii="Times New Roman" w:hAnsi="Times New Roman"/>
          <w:sz w:val="24"/>
        </w:rPr>
      </w:pPr>
      <w:r>
        <w:rPr>
          <w:rFonts w:ascii="Times New Roman" w:hAnsi="Times New Roman"/>
          <w:sz w:val="24"/>
        </w:rPr>
        <w:t xml:space="preserve">In the event </w:t>
      </w:r>
      <w:r w:rsidR="00B31E14" w:rsidRPr="000E3F03">
        <w:rPr>
          <w:rFonts w:ascii="Times New Roman" w:hAnsi="Times New Roman"/>
          <w:sz w:val="24"/>
        </w:rPr>
        <w:t>[</w:t>
      </w:r>
      <w:r w:rsidR="00B31E14">
        <w:rPr>
          <w:rFonts w:ascii="Times New Roman" w:hAnsi="Times New Roman"/>
          <w:i/>
          <w:sz w:val="24"/>
        </w:rPr>
        <w:t>Organization</w:t>
      </w:r>
      <w:r w:rsidRPr="000E3F03">
        <w:rPr>
          <w:rFonts w:ascii="Times New Roman" w:hAnsi="Times New Roman"/>
          <w:sz w:val="24"/>
        </w:rPr>
        <w:t>]</w:t>
      </w:r>
      <w:r w:rsidR="00B31E14">
        <w:rPr>
          <w:rFonts w:ascii="Times New Roman" w:hAnsi="Times New Roman"/>
          <w:sz w:val="24"/>
        </w:rPr>
        <w:t>’s</w:t>
      </w:r>
      <w:r>
        <w:rPr>
          <w:rFonts w:ascii="Times New Roman" w:hAnsi="Times New Roman"/>
          <w:i/>
          <w:sz w:val="24"/>
        </w:rPr>
        <w:t xml:space="preserve"> </w:t>
      </w:r>
      <w:r>
        <w:rPr>
          <w:rFonts w:ascii="Times New Roman" w:hAnsi="Times New Roman"/>
          <w:sz w:val="24"/>
        </w:rPr>
        <w:t xml:space="preserve">Workforce have questions about whether </w:t>
      </w:r>
      <w:r w:rsidR="00CD4DF0">
        <w:rPr>
          <w:rFonts w:ascii="Times New Roman" w:hAnsi="Times New Roman"/>
          <w:sz w:val="24"/>
        </w:rPr>
        <w:t xml:space="preserve">specific authorization in law exists for a disclosure, or whether </w:t>
      </w:r>
      <w:r>
        <w:rPr>
          <w:rFonts w:ascii="Times New Roman" w:hAnsi="Times New Roman"/>
          <w:sz w:val="24"/>
        </w:rPr>
        <w:t>a document styled as a “court order”</w:t>
      </w:r>
      <w:r w:rsidR="00CD4DF0">
        <w:rPr>
          <w:rFonts w:ascii="Times New Roman" w:hAnsi="Times New Roman"/>
          <w:sz w:val="24"/>
        </w:rPr>
        <w:t xml:space="preserve"> is sufficient </w:t>
      </w:r>
      <w:r>
        <w:rPr>
          <w:rFonts w:ascii="Times New Roman" w:hAnsi="Times New Roman"/>
          <w:sz w:val="24"/>
        </w:rPr>
        <w:t xml:space="preserve">to meet the obligations of this policy, HIPAA, the Minnesota Records Act or other applicable provisions of federal or state law, they will consult with </w:t>
      </w:r>
      <w:r w:rsidR="00B31E14" w:rsidRPr="000E3F03">
        <w:rPr>
          <w:rFonts w:ascii="Times New Roman" w:hAnsi="Times New Roman"/>
          <w:sz w:val="24"/>
        </w:rPr>
        <w:t>[</w:t>
      </w:r>
      <w:r w:rsidR="00B31E14">
        <w:rPr>
          <w:rFonts w:ascii="Times New Roman" w:hAnsi="Times New Roman"/>
          <w:i/>
          <w:sz w:val="24"/>
        </w:rPr>
        <w:t>Organization</w:t>
      </w:r>
      <w:r w:rsidRPr="000E3F03">
        <w:rPr>
          <w:rFonts w:ascii="Times New Roman" w:hAnsi="Times New Roman"/>
          <w:sz w:val="24"/>
        </w:rPr>
        <w:t>]</w:t>
      </w:r>
      <w:r w:rsidR="00B31E14">
        <w:rPr>
          <w:rFonts w:ascii="Times New Roman" w:hAnsi="Times New Roman"/>
          <w:sz w:val="24"/>
        </w:rPr>
        <w:t>’s</w:t>
      </w:r>
      <w:r>
        <w:rPr>
          <w:rFonts w:ascii="Times New Roman" w:hAnsi="Times New Roman"/>
          <w:i/>
          <w:sz w:val="24"/>
        </w:rPr>
        <w:t xml:space="preserve"> </w:t>
      </w:r>
      <w:r>
        <w:rPr>
          <w:rFonts w:ascii="Times New Roman" w:hAnsi="Times New Roman"/>
          <w:sz w:val="24"/>
        </w:rPr>
        <w:t>Privacy Official.</w:t>
      </w:r>
      <w:r w:rsidR="00CD4DF0">
        <w:rPr>
          <w:rFonts w:ascii="Times New Roman" w:hAnsi="Times New Roman"/>
          <w:sz w:val="24"/>
        </w:rPr>
        <w:t xml:space="preserve"> </w:t>
      </w:r>
    </w:p>
    <w:p w:rsidR="001420B2" w:rsidRDefault="00B31E14" w:rsidP="001420B2">
      <w:pPr>
        <w:pStyle w:val="ListParagraph"/>
        <w:numPr>
          <w:ilvl w:val="1"/>
          <w:numId w:val="1"/>
        </w:numPr>
        <w:spacing w:after="240" w:line="240" w:lineRule="auto"/>
        <w:contextualSpacing w:val="0"/>
        <w:jc w:val="both"/>
        <w:rPr>
          <w:rFonts w:ascii="Times New Roman" w:hAnsi="Times New Roman"/>
          <w:sz w:val="24"/>
        </w:rPr>
      </w:pPr>
      <w:r w:rsidRPr="000E3F03">
        <w:rPr>
          <w:rFonts w:ascii="Times New Roman" w:hAnsi="Times New Roman"/>
          <w:sz w:val="24"/>
        </w:rPr>
        <w:t>[</w:t>
      </w:r>
      <w:r>
        <w:rPr>
          <w:rFonts w:ascii="Times New Roman" w:hAnsi="Times New Roman"/>
          <w:i/>
          <w:sz w:val="24"/>
        </w:rPr>
        <w:t>Organization</w:t>
      </w:r>
      <w:r w:rsidR="001420B2" w:rsidRPr="000E3F03">
        <w:rPr>
          <w:rFonts w:ascii="Times New Roman" w:hAnsi="Times New Roman"/>
          <w:sz w:val="24"/>
        </w:rPr>
        <w:t>]</w:t>
      </w:r>
      <w:r>
        <w:rPr>
          <w:rFonts w:ascii="Times New Roman" w:hAnsi="Times New Roman"/>
          <w:sz w:val="24"/>
        </w:rPr>
        <w:t>’s</w:t>
      </w:r>
      <w:r w:rsidR="001420B2">
        <w:rPr>
          <w:rFonts w:ascii="Times New Roman" w:hAnsi="Times New Roman"/>
          <w:i/>
          <w:sz w:val="24"/>
        </w:rPr>
        <w:t xml:space="preserve"> </w:t>
      </w:r>
      <w:r w:rsidR="001420B2">
        <w:rPr>
          <w:rFonts w:ascii="Times New Roman" w:hAnsi="Times New Roman"/>
          <w:sz w:val="24"/>
        </w:rPr>
        <w:t xml:space="preserve">Privacy Official or designee will document any such releases in a manner that will allow </w:t>
      </w:r>
      <w:r w:rsidR="001420B2" w:rsidRPr="000E3F03">
        <w:rPr>
          <w:rFonts w:ascii="Times New Roman" w:hAnsi="Times New Roman"/>
          <w:sz w:val="24"/>
        </w:rPr>
        <w:t>[</w:t>
      </w:r>
      <w:r w:rsidR="001420B2">
        <w:rPr>
          <w:rFonts w:ascii="Times New Roman" w:hAnsi="Times New Roman"/>
          <w:i/>
          <w:sz w:val="24"/>
        </w:rPr>
        <w:t>Organization</w:t>
      </w:r>
      <w:r w:rsidR="001420B2" w:rsidRPr="000E3F03">
        <w:rPr>
          <w:rFonts w:ascii="Times New Roman" w:hAnsi="Times New Roman"/>
          <w:sz w:val="24"/>
        </w:rPr>
        <w:t xml:space="preserve">] </w:t>
      </w:r>
      <w:r w:rsidR="001420B2">
        <w:rPr>
          <w:rFonts w:ascii="Times New Roman" w:hAnsi="Times New Roman"/>
          <w:sz w:val="24"/>
        </w:rPr>
        <w:t xml:space="preserve">to provide an accounting of disclosures to patients.  </w:t>
      </w:r>
    </w:p>
    <w:p w:rsidR="00CD4DF0" w:rsidRDefault="00B31E14" w:rsidP="00165001">
      <w:pPr>
        <w:pStyle w:val="ListParagraph"/>
        <w:numPr>
          <w:ilvl w:val="1"/>
          <w:numId w:val="1"/>
        </w:numPr>
        <w:spacing w:after="240" w:line="240" w:lineRule="auto"/>
        <w:contextualSpacing w:val="0"/>
        <w:jc w:val="both"/>
      </w:pPr>
      <w:r w:rsidRPr="000E3F03">
        <w:rPr>
          <w:rFonts w:ascii="Times New Roman" w:hAnsi="Times New Roman"/>
          <w:sz w:val="24"/>
        </w:rPr>
        <w:t>[</w:t>
      </w:r>
      <w:r>
        <w:rPr>
          <w:rFonts w:ascii="Times New Roman" w:hAnsi="Times New Roman"/>
          <w:i/>
          <w:sz w:val="24"/>
        </w:rPr>
        <w:t>Organization</w:t>
      </w:r>
      <w:r w:rsidR="001420B2" w:rsidRPr="000E3F03">
        <w:rPr>
          <w:rFonts w:ascii="Times New Roman" w:hAnsi="Times New Roman"/>
          <w:sz w:val="24"/>
        </w:rPr>
        <w:t>]</w:t>
      </w:r>
      <w:r>
        <w:rPr>
          <w:rFonts w:ascii="Times New Roman" w:hAnsi="Times New Roman"/>
          <w:sz w:val="24"/>
        </w:rPr>
        <w:t>’s</w:t>
      </w:r>
      <w:r w:rsidR="001420B2">
        <w:rPr>
          <w:rFonts w:ascii="Times New Roman" w:hAnsi="Times New Roman"/>
          <w:i/>
          <w:sz w:val="24"/>
        </w:rPr>
        <w:t xml:space="preserve"> </w:t>
      </w:r>
      <w:r w:rsidR="001420B2">
        <w:rPr>
          <w:rFonts w:ascii="Times New Roman" w:hAnsi="Times New Roman"/>
          <w:sz w:val="24"/>
        </w:rPr>
        <w:t>Privacy Official or designee will document related information in the patient’s chart.</w:t>
      </w:r>
      <w:r w:rsidR="00165001">
        <w:t xml:space="preserve"> </w:t>
      </w:r>
    </w:p>
    <w:sectPr w:rsidR="00CD4DF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368" w:rsidRDefault="00D22368" w:rsidP="0070470C">
      <w:r>
        <w:separator/>
      </w:r>
    </w:p>
  </w:endnote>
  <w:endnote w:type="continuationSeparator" w:id="0">
    <w:p w:rsidR="00D22368" w:rsidRDefault="00D22368" w:rsidP="00704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54B" w:rsidRDefault="00CB15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583573"/>
      <w:docPartObj>
        <w:docPartGallery w:val="Page Numbers (Bottom of Page)"/>
        <w:docPartUnique/>
      </w:docPartObj>
    </w:sdtPr>
    <w:sdtEndPr>
      <w:rPr>
        <w:noProof/>
      </w:rPr>
    </w:sdtEndPr>
    <w:sdtContent>
      <w:p w:rsidR="00354B47" w:rsidRDefault="00354B47">
        <w:pPr>
          <w:pStyle w:val="Footer"/>
          <w:jc w:val="center"/>
        </w:pPr>
        <w:r>
          <w:fldChar w:fldCharType="begin"/>
        </w:r>
        <w:r>
          <w:instrText xml:space="preserve"> PAGE   \* MERGEFORMAT </w:instrText>
        </w:r>
        <w:r>
          <w:fldChar w:fldCharType="separate"/>
        </w:r>
        <w:r w:rsidR="006F7BE5">
          <w:rPr>
            <w:noProof/>
          </w:rPr>
          <w:t>1</w:t>
        </w:r>
        <w:r>
          <w:rPr>
            <w:noProof/>
          </w:rPr>
          <w:fldChar w:fldCharType="end"/>
        </w:r>
      </w:p>
    </w:sdtContent>
  </w:sdt>
  <w:p w:rsidR="00354B47" w:rsidRDefault="00354B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54B" w:rsidRDefault="00CB15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368" w:rsidRDefault="00D22368" w:rsidP="0070470C">
      <w:r>
        <w:separator/>
      </w:r>
    </w:p>
  </w:footnote>
  <w:footnote w:type="continuationSeparator" w:id="0">
    <w:p w:rsidR="00D22368" w:rsidRDefault="00D22368" w:rsidP="00704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54B" w:rsidRDefault="00CB15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70C" w:rsidRDefault="0070470C" w:rsidP="005F61D6">
    <w:pPr>
      <w:pStyle w:val="Heading1"/>
    </w:pPr>
    <w:r>
      <w:t>[Enter Organization Logo]</w:t>
    </w:r>
  </w:p>
  <w:p w:rsidR="0070470C" w:rsidRDefault="007047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54B" w:rsidRDefault="00CB15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6C78"/>
    <w:multiLevelType w:val="multilevel"/>
    <w:tmpl w:val="2CD8E028"/>
    <w:lvl w:ilvl="0">
      <w:start w:val="1"/>
      <w:numFmt w:val="upperRoman"/>
      <w:lvlText w:val="%1."/>
      <w:lvlJc w:val="right"/>
      <w:pPr>
        <w:ind w:left="360" w:hanging="360"/>
      </w:pPr>
      <w:rPr>
        <w:rFonts w:hint="default"/>
        <w:b/>
      </w:rPr>
    </w:lvl>
    <w:lvl w:ilvl="1">
      <w:start w:val="1"/>
      <w:numFmt w:val="upperLetter"/>
      <w:lvlText w:val="%2."/>
      <w:lvlJc w:val="left"/>
      <w:pPr>
        <w:ind w:left="720" w:hanging="360"/>
      </w:pPr>
      <w:rPr>
        <w:rFonts w:hint="default"/>
        <w:b/>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b w:val="0"/>
      </w:rPr>
    </w:lvl>
    <w:lvl w:ilvl="4">
      <w:start w:val="1"/>
      <w:numFmt w:val="lowerRoman"/>
      <w:lvlText w:val="%5."/>
      <w:lvlJc w:val="left"/>
      <w:pPr>
        <w:ind w:left="180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87B11C3"/>
    <w:multiLevelType w:val="hybridMultilevel"/>
    <w:tmpl w:val="3FFE51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F9628A"/>
    <w:multiLevelType w:val="multilevel"/>
    <w:tmpl w:val="5AFCD1A6"/>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b/>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b w:val="0"/>
      </w:rPr>
    </w:lvl>
    <w:lvl w:ilvl="4">
      <w:start w:val="1"/>
      <w:numFmt w:val="lowerRoman"/>
      <w:lvlText w:val="%5."/>
      <w:lvlJc w:val="left"/>
      <w:pPr>
        <w:ind w:left="180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2F3B19A3"/>
    <w:multiLevelType w:val="multilevel"/>
    <w:tmpl w:val="2CD8E028"/>
    <w:lvl w:ilvl="0">
      <w:start w:val="1"/>
      <w:numFmt w:val="upperRoman"/>
      <w:lvlText w:val="%1."/>
      <w:lvlJc w:val="right"/>
      <w:pPr>
        <w:ind w:left="360" w:hanging="360"/>
      </w:pPr>
      <w:rPr>
        <w:rFonts w:hint="default"/>
        <w:b/>
      </w:rPr>
    </w:lvl>
    <w:lvl w:ilvl="1">
      <w:start w:val="1"/>
      <w:numFmt w:val="upperLetter"/>
      <w:lvlText w:val="%2."/>
      <w:lvlJc w:val="left"/>
      <w:pPr>
        <w:ind w:left="720" w:hanging="360"/>
      </w:pPr>
      <w:rPr>
        <w:rFonts w:hint="default"/>
        <w:b/>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b w:val="0"/>
      </w:rPr>
    </w:lvl>
    <w:lvl w:ilvl="4">
      <w:start w:val="1"/>
      <w:numFmt w:val="lowerRoman"/>
      <w:lvlText w:val="%5."/>
      <w:lvlJc w:val="left"/>
      <w:pPr>
        <w:ind w:left="180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34671EFD"/>
    <w:multiLevelType w:val="multilevel"/>
    <w:tmpl w:val="2CD8E028"/>
    <w:lvl w:ilvl="0">
      <w:start w:val="1"/>
      <w:numFmt w:val="upperRoman"/>
      <w:lvlText w:val="%1."/>
      <w:lvlJc w:val="right"/>
      <w:pPr>
        <w:ind w:left="360" w:hanging="360"/>
      </w:pPr>
      <w:rPr>
        <w:rFonts w:hint="default"/>
        <w:b/>
      </w:rPr>
    </w:lvl>
    <w:lvl w:ilvl="1">
      <w:start w:val="1"/>
      <w:numFmt w:val="upperLetter"/>
      <w:lvlText w:val="%2."/>
      <w:lvlJc w:val="left"/>
      <w:pPr>
        <w:ind w:left="720" w:hanging="360"/>
      </w:pPr>
      <w:rPr>
        <w:rFonts w:hint="default"/>
        <w:b/>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b w:val="0"/>
      </w:rPr>
    </w:lvl>
    <w:lvl w:ilvl="4">
      <w:start w:val="1"/>
      <w:numFmt w:val="lowerRoman"/>
      <w:lvlText w:val="%5."/>
      <w:lvlJc w:val="left"/>
      <w:pPr>
        <w:ind w:left="180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51D22FF3"/>
    <w:multiLevelType w:val="hybridMultilevel"/>
    <w:tmpl w:val="FF0C2C50"/>
    <w:lvl w:ilvl="0" w:tplc="76CCE726">
      <w:start w:val="1"/>
      <w:numFmt w:val="decimal"/>
      <w:lvlText w:val="%1."/>
      <w:lvlJc w:val="left"/>
      <w:pPr>
        <w:ind w:left="1080" w:hanging="360"/>
      </w:pPr>
      <w:rPr>
        <w:rFonts w:ascii="Times New Roman" w:hAnsi="Times New Roman" w:cs="Times New Roman"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3227742"/>
    <w:multiLevelType w:val="hybridMultilevel"/>
    <w:tmpl w:val="C28861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8206AB1"/>
    <w:multiLevelType w:val="hybridMultilevel"/>
    <w:tmpl w:val="BA42F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1"/>
  </w:num>
  <w:num w:numId="4">
    <w:abstractNumId w:val="6"/>
  </w:num>
  <w:num w:numId="5">
    <w:abstractNumId w:val="5"/>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PLegacyTrailerRemoved" w:val="False"/>
    <w:docVar w:name="zzmp10LastTrailerInserted" w:val="^`~#mp!@D2P#&amp;┙┬568}śmÔÉ⌎ƗH⌕‫éÂp•å⌋‟ÙHÔª⌝wŨ!£⌔Pß₱¨!Ù|†¿´@(Ô₴⌌HÐpk⌂i}ëˉ?u,Ŗ⌏¸ÉŦ3&amp;|Ɓ¹9u+&quot;!1Ä+YýÏŦ¶°N⌔Å⌆=8&quot;ËR¸]‟ûÿ.®. [¹“m⌖æŤ⌒­ßŚţ¸:&gt;gm&gt;RùKûî+℥&lt;²Í+Ö7`[7;_[011"/>
    <w:docVar w:name="zzmp10LastTrailerInserted_4347" w:val="^`~#mp!@D2P#&amp;┙┬568}śmÔÉ⌎ƗH⌕‫éÂp•å⌋‟ÙHÔª⌝wŨ!£⌔Pß₱¨!Ù|†¿´@(Ô₴⌌HÐpk⌂i}ëˉ?u,Ŗ⌏¸ÉŦ3&amp;|Ɓ¹9u+&quot;!1Ä+YýÏŦ¶°N⌔Å⌆=8&quot;ËR¸]‟ûÿ.®. [¹“m⌖æŤ⌒­ßŚţ¸:&gt;gm&gt;RùKûî+℥&lt;²Í+Ö7`[7;_[011"/>
    <w:docVar w:name="zzmp10mSEGsValidated" w:val="1"/>
  </w:docVars>
  <w:rsids>
    <w:rsidRoot w:val="0070470C"/>
    <w:rsid w:val="00022C92"/>
    <w:rsid w:val="00070DAE"/>
    <w:rsid w:val="00092D3E"/>
    <w:rsid w:val="000A0550"/>
    <w:rsid w:val="000E3F03"/>
    <w:rsid w:val="00107C1A"/>
    <w:rsid w:val="001420B2"/>
    <w:rsid w:val="00152C50"/>
    <w:rsid w:val="00165001"/>
    <w:rsid w:val="0017057E"/>
    <w:rsid w:val="00185355"/>
    <w:rsid w:val="00186DB7"/>
    <w:rsid w:val="00186F80"/>
    <w:rsid w:val="001F6165"/>
    <w:rsid w:val="00202CDD"/>
    <w:rsid w:val="00207B7B"/>
    <w:rsid w:val="00226854"/>
    <w:rsid w:val="00244D8F"/>
    <w:rsid w:val="002533D4"/>
    <w:rsid w:val="00284207"/>
    <w:rsid w:val="00296287"/>
    <w:rsid w:val="002A26D7"/>
    <w:rsid w:val="002A4095"/>
    <w:rsid w:val="002A46F3"/>
    <w:rsid w:val="002C6758"/>
    <w:rsid w:val="00314F2F"/>
    <w:rsid w:val="003167A5"/>
    <w:rsid w:val="00317D21"/>
    <w:rsid w:val="00354B47"/>
    <w:rsid w:val="00387BDA"/>
    <w:rsid w:val="00390620"/>
    <w:rsid w:val="004138D4"/>
    <w:rsid w:val="0042288B"/>
    <w:rsid w:val="00430073"/>
    <w:rsid w:val="004473CC"/>
    <w:rsid w:val="00462A60"/>
    <w:rsid w:val="00480D06"/>
    <w:rsid w:val="004B35C3"/>
    <w:rsid w:val="004E03E7"/>
    <w:rsid w:val="00541C45"/>
    <w:rsid w:val="005653E3"/>
    <w:rsid w:val="00581AD5"/>
    <w:rsid w:val="00585633"/>
    <w:rsid w:val="005875BE"/>
    <w:rsid w:val="00590B7B"/>
    <w:rsid w:val="005C1B1D"/>
    <w:rsid w:val="005F61D6"/>
    <w:rsid w:val="0062371B"/>
    <w:rsid w:val="0067360E"/>
    <w:rsid w:val="00675956"/>
    <w:rsid w:val="00681FA4"/>
    <w:rsid w:val="006A7F24"/>
    <w:rsid w:val="006F7BE5"/>
    <w:rsid w:val="0070470C"/>
    <w:rsid w:val="00705F0A"/>
    <w:rsid w:val="00725BE7"/>
    <w:rsid w:val="00756105"/>
    <w:rsid w:val="007A69EC"/>
    <w:rsid w:val="007D5843"/>
    <w:rsid w:val="007D7807"/>
    <w:rsid w:val="00801D2E"/>
    <w:rsid w:val="00847ACA"/>
    <w:rsid w:val="00890AF5"/>
    <w:rsid w:val="008E2E4E"/>
    <w:rsid w:val="0091385D"/>
    <w:rsid w:val="00921661"/>
    <w:rsid w:val="0092718E"/>
    <w:rsid w:val="00971C54"/>
    <w:rsid w:val="00985609"/>
    <w:rsid w:val="009F31DC"/>
    <w:rsid w:val="00A00621"/>
    <w:rsid w:val="00A64235"/>
    <w:rsid w:val="00A724A7"/>
    <w:rsid w:val="00AB1D11"/>
    <w:rsid w:val="00AB2E85"/>
    <w:rsid w:val="00AB5456"/>
    <w:rsid w:val="00AC299B"/>
    <w:rsid w:val="00AF2A71"/>
    <w:rsid w:val="00B01326"/>
    <w:rsid w:val="00B31E14"/>
    <w:rsid w:val="00B67B50"/>
    <w:rsid w:val="00B83F17"/>
    <w:rsid w:val="00BA7C22"/>
    <w:rsid w:val="00BB3A3F"/>
    <w:rsid w:val="00BB684C"/>
    <w:rsid w:val="00C0428B"/>
    <w:rsid w:val="00C72A76"/>
    <w:rsid w:val="00C874BD"/>
    <w:rsid w:val="00CB154B"/>
    <w:rsid w:val="00CB7799"/>
    <w:rsid w:val="00CD4DF0"/>
    <w:rsid w:val="00CE68F3"/>
    <w:rsid w:val="00D22368"/>
    <w:rsid w:val="00DB62AA"/>
    <w:rsid w:val="00DE2D32"/>
    <w:rsid w:val="00E00B85"/>
    <w:rsid w:val="00E3503E"/>
    <w:rsid w:val="00E66514"/>
    <w:rsid w:val="00E77D0E"/>
    <w:rsid w:val="00E82AC3"/>
    <w:rsid w:val="00E87BEE"/>
    <w:rsid w:val="00EC3F16"/>
    <w:rsid w:val="00F070AA"/>
    <w:rsid w:val="00F16C92"/>
    <w:rsid w:val="00F40FFC"/>
    <w:rsid w:val="00F42076"/>
    <w:rsid w:val="00F44AEA"/>
    <w:rsid w:val="00F875A2"/>
    <w:rsid w:val="00F97929"/>
    <w:rsid w:val="00FA0150"/>
    <w:rsid w:val="00FA29E7"/>
    <w:rsid w:val="00FF6EE9"/>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70C"/>
    <w:pPr>
      <w:spacing w:after="0" w:line="240" w:lineRule="auto"/>
    </w:pPr>
  </w:style>
  <w:style w:type="paragraph" w:styleId="Heading1">
    <w:name w:val="heading 1"/>
    <w:basedOn w:val="Header"/>
    <w:next w:val="Normal"/>
    <w:link w:val="Heading1Char"/>
    <w:uiPriority w:val="9"/>
    <w:qFormat/>
    <w:rsid w:val="005F61D6"/>
    <w:pPr>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70C"/>
    <w:pPr>
      <w:tabs>
        <w:tab w:val="center" w:pos="4680"/>
        <w:tab w:val="right" w:pos="9360"/>
      </w:tabs>
    </w:pPr>
  </w:style>
  <w:style w:type="character" w:customStyle="1" w:styleId="HeaderChar">
    <w:name w:val="Header Char"/>
    <w:basedOn w:val="DefaultParagraphFont"/>
    <w:link w:val="Header"/>
    <w:uiPriority w:val="99"/>
    <w:rsid w:val="0070470C"/>
    <w:rPr>
      <w:rFonts w:ascii="Times New Roman" w:hAnsi="Times New Roman"/>
      <w:sz w:val="24"/>
    </w:rPr>
  </w:style>
  <w:style w:type="paragraph" w:styleId="Footer">
    <w:name w:val="footer"/>
    <w:basedOn w:val="Normal"/>
    <w:link w:val="FooterChar"/>
    <w:uiPriority w:val="99"/>
    <w:unhideWhenUsed/>
    <w:rsid w:val="0070470C"/>
    <w:pPr>
      <w:tabs>
        <w:tab w:val="center" w:pos="4680"/>
        <w:tab w:val="right" w:pos="9360"/>
      </w:tabs>
    </w:pPr>
  </w:style>
  <w:style w:type="character" w:customStyle="1" w:styleId="FooterChar">
    <w:name w:val="Footer Char"/>
    <w:basedOn w:val="DefaultParagraphFont"/>
    <w:link w:val="Footer"/>
    <w:uiPriority w:val="99"/>
    <w:rsid w:val="0070470C"/>
    <w:rPr>
      <w:rFonts w:ascii="Times New Roman" w:hAnsi="Times New Roman"/>
      <w:sz w:val="24"/>
    </w:rPr>
  </w:style>
  <w:style w:type="paragraph" w:styleId="ListParagraph">
    <w:name w:val="List Paragraph"/>
    <w:basedOn w:val="Normal"/>
    <w:uiPriority w:val="34"/>
    <w:qFormat/>
    <w:rsid w:val="0070470C"/>
    <w:pPr>
      <w:spacing w:after="200" w:line="276" w:lineRule="auto"/>
      <w:ind w:left="720"/>
      <w:contextualSpacing/>
    </w:pPr>
    <w:rPr>
      <w:rFonts w:asciiTheme="minorHAnsi" w:eastAsiaTheme="minorEastAsia" w:hAnsiTheme="minorHAnsi"/>
      <w:sz w:val="22"/>
    </w:rPr>
  </w:style>
  <w:style w:type="paragraph" w:customStyle="1" w:styleId="MacPacTrailer">
    <w:name w:val="MacPac Trailer"/>
    <w:rsid w:val="00CD4DF0"/>
    <w:pPr>
      <w:widowControl w:val="0"/>
      <w:spacing w:after="0" w:line="200" w:lineRule="exact"/>
    </w:pPr>
    <w:rPr>
      <w:rFonts w:eastAsia="Times New Roman"/>
      <w:sz w:val="16"/>
      <w:szCs w:val="22"/>
    </w:rPr>
  </w:style>
  <w:style w:type="paragraph" w:styleId="BalloonText">
    <w:name w:val="Balloon Text"/>
    <w:basedOn w:val="Normal"/>
    <w:link w:val="BalloonTextChar"/>
    <w:uiPriority w:val="99"/>
    <w:semiHidden/>
    <w:unhideWhenUsed/>
    <w:rsid w:val="00354B47"/>
    <w:rPr>
      <w:rFonts w:ascii="Tahoma" w:hAnsi="Tahoma" w:cs="Tahoma"/>
      <w:sz w:val="16"/>
      <w:szCs w:val="16"/>
    </w:rPr>
  </w:style>
  <w:style w:type="character" w:customStyle="1" w:styleId="BalloonTextChar">
    <w:name w:val="Balloon Text Char"/>
    <w:basedOn w:val="DefaultParagraphFont"/>
    <w:link w:val="BalloonText"/>
    <w:uiPriority w:val="99"/>
    <w:semiHidden/>
    <w:rsid w:val="00354B47"/>
    <w:rPr>
      <w:rFonts w:ascii="Tahoma" w:hAnsi="Tahoma" w:cs="Tahoma"/>
      <w:sz w:val="16"/>
      <w:szCs w:val="16"/>
    </w:rPr>
  </w:style>
  <w:style w:type="character" w:styleId="PlaceholderText">
    <w:name w:val="Placeholder Text"/>
    <w:basedOn w:val="DefaultParagraphFont"/>
    <w:uiPriority w:val="99"/>
    <w:semiHidden/>
    <w:rsid w:val="00354B47"/>
    <w:rPr>
      <w:color w:val="808080"/>
    </w:rPr>
  </w:style>
  <w:style w:type="character" w:styleId="Hyperlink">
    <w:name w:val="Hyperlink"/>
    <w:basedOn w:val="DefaultParagraphFont"/>
    <w:uiPriority w:val="99"/>
    <w:unhideWhenUsed/>
    <w:rsid w:val="00921661"/>
    <w:rPr>
      <w:color w:val="0000FF" w:themeColor="hyperlink"/>
      <w:u w:val="single"/>
    </w:rPr>
  </w:style>
  <w:style w:type="paragraph" w:styleId="NoSpacing">
    <w:name w:val="No Spacing"/>
    <w:uiPriority w:val="1"/>
    <w:qFormat/>
    <w:rsid w:val="00FA0150"/>
    <w:pPr>
      <w:spacing w:after="0" w:line="240" w:lineRule="auto"/>
    </w:pPr>
  </w:style>
  <w:style w:type="paragraph" w:customStyle="1" w:styleId="OutlineinNormal">
    <w:name w:val="Outline in Normal"/>
    <w:basedOn w:val="Normal"/>
    <w:rsid w:val="00FF6EE9"/>
    <w:pPr>
      <w:spacing w:before="240" w:after="240"/>
    </w:pPr>
    <w:rPr>
      <w:rFonts w:eastAsia="Times New Roman"/>
      <w:sz w:val="20"/>
    </w:rPr>
  </w:style>
  <w:style w:type="character" w:customStyle="1" w:styleId="Heading1Char">
    <w:name w:val="Heading 1 Char"/>
    <w:basedOn w:val="DefaultParagraphFont"/>
    <w:link w:val="Heading1"/>
    <w:uiPriority w:val="9"/>
    <w:rsid w:val="005F61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70C"/>
    <w:pPr>
      <w:spacing w:after="0" w:line="240" w:lineRule="auto"/>
    </w:pPr>
  </w:style>
  <w:style w:type="paragraph" w:styleId="Heading1">
    <w:name w:val="heading 1"/>
    <w:basedOn w:val="Header"/>
    <w:next w:val="Normal"/>
    <w:link w:val="Heading1Char"/>
    <w:uiPriority w:val="9"/>
    <w:qFormat/>
    <w:rsid w:val="005F61D6"/>
    <w:pPr>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70C"/>
    <w:pPr>
      <w:tabs>
        <w:tab w:val="center" w:pos="4680"/>
        <w:tab w:val="right" w:pos="9360"/>
      </w:tabs>
    </w:pPr>
  </w:style>
  <w:style w:type="character" w:customStyle="1" w:styleId="HeaderChar">
    <w:name w:val="Header Char"/>
    <w:basedOn w:val="DefaultParagraphFont"/>
    <w:link w:val="Header"/>
    <w:uiPriority w:val="99"/>
    <w:rsid w:val="0070470C"/>
    <w:rPr>
      <w:rFonts w:ascii="Times New Roman" w:hAnsi="Times New Roman"/>
      <w:sz w:val="24"/>
    </w:rPr>
  </w:style>
  <w:style w:type="paragraph" w:styleId="Footer">
    <w:name w:val="footer"/>
    <w:basedOn w:val="Normal"/>
    <w:link w:val="FooterChar"/>
    <w:uiPriority w:val="99"/>
    <w:unhideWhenUsed/>
    <w:rsid w:val="0070470C"/>
    <w:pPr>
      <w:tabs>
        <w:tab w:val="center" w:pos="4680"/>
        <w:tab w:val="right" w:pos="9360"/>
      </w:tabs>
    </w:pPr>
  </w:style>
  <w:style w:type="character" w:customStyle="1" w:styleId="FooterChar">
    <w:name w:val="Footer Char"/>
    <w:basedOn w:val="DefaultParagraphFont"/>
    <w:link w:val="Footer"/>
    <w:uiPriority w:val="99"/>
    <w:rsid w:val="0070470C"/>
    <w:rPr>
      <w:rFonts w:ascii="Times New Roman" w:hAnsi="Times New Roman"/>
      <w:sz w:val="24"/>
    </w:rPr>
  </w:style>
  <w:style w:type="paragraph" w:styleId="ListParagraph">
    <w:name w:val="List Paragraph"/>
    <w:basedOn w:val="Normal"/>
    <w:uiPriority w:val="34"/>
    <w:qFormat/>
    <w:rsid w:val="0070470C"/>
    <w:pPr>
      <w:spacing w:after="200" w:line="276" w:lineRule="auto"/>
      <w:ind w:left="720"/>
      <w:contextualSpacing/>
    </w:pPr>
    <w:rPr>
      <w:rFonts w:asciiTheme="minorHAnsi" w:eastAsiaTheme="minorEastAsia" w:hAnsiTheme="minorHAnsi"/>
      <w:sz w:val="22"/>
    </w:rPr>
  </w:style>
  <w:style w:type="paragraph" w:customStyle="1" w:styleId="MacPacTrailer">
    <w:name w:val="MacPac Trailer"/>
    <w:rsid w:val="00CD4DF0"/>
    <w:pPr>
      <w:widowControl w:val="0"/>
      <w:spacing w:after="0" w:line="200" w:lineRule="exact"/>
    </w:pPr>
    <w:rPr>
      <w:rFonts w:eastAsia="Times New Roman"/>
      <w:sz w:val="16"/>
      <w:szCs w:val="22"/>
    </w:rPr>
  </w:style>
  <w:style w:type="paragraph" w:styleId="BalloonText">
    <w:name w:val="Balloon Text"/>
    <w:basedOn w:val="Normal"/>
    <w:link w:val="BalloonTextChar"/>
    <w:uiPriority w:val="99"/>
    <w:semiHidden/>
    <w:unhideWhenUsed/>
    <w:rsid w:val="00354B47"/>
    <w:rPr>
      <w:rFonts w:ascii="Tahoma" w:hAnsi="Tahoma" w:cs="Tahoma"/>
      <w:sz w:val="16"/>
      <w:szCs w:val="16"/>
    </w:rPr>
  </w:style>
  <w:style w:type="character" w:customStyle="1" w:styleId="BalloonTextChar">
    <w:name w:val="Balloon Text Char"/>
    <w:basedOn w:val="DefaultParagraphFont"/>
    <w:link w:val="BalloonText"/>
    <w:uiPriority w:val="99"/>
    <w:semiHidden/>
    <w:rsid w:val="00354B47"/>
    <w:rPr>
      <w:rFonts w:ascii="Tahoma" w:hAnsi="Tahoma" w:cs="Tahoma"/>
      <w:sz w:val="16"/>
      <w:szCs w:val="16"/>
    </w:rPr>
  </w:style>
  <w:style w:type="character" w:styleId="PlaceholderText">
    <w:name w:val="Placeholder Text"/>
    <w:basedOn w:val="DefaultParagraphFont"/>
    <w:uiPriority w:val="99"/>
    <w:semiHidden/>
    <w:rsid w:val="00354B47"/>
    <w:rPr>
      <w:color w:val="808080"/>
    </w:rPr>
  </w:style>
  <w:style w:type="character" w:styleId="Hyperlink">
    <w:name w:val="Hyperlink"/>
    <w:basedOn w:val="DefaultParagraphFont"/>
    <w:uiPriority w:val="99"/>
    <w:unhideWhenUsed/>
    <w:rsid w:val="00921661"/>
    <w:rPr>
      <w:color w:val="0000FF" w:themeColor="hyperlink"/>
      <w:u w:val="single"/>
    </w:rPr>
  </w:style>
  <w:style w:type="paragraph" w:styleId="NoSpacing">
    <w:name w:val="No Spacing"/>
    <w:uiPriority w:val="1"/>
    <w:qFormat/>
    <w:rsid w:val="00FA0150"/>
    <w:pPr>
      <w:spacing w:after="0" w:line="240" w:lineRule="auto"/>
    </w:pPr>
  </w:style>
  <w:style w:type="paragraph" w:customStyle="1" w:styleId="OutlineinNormal">
    <w:name w:val="Outline in Normal"/>
    <w:basedOn w:val="Normal"/>
    <w:rsid w:val="00FF6EE9"/>
    <w:pPr>
      <w:spacing w:before="240" w:after="240"/>
    </w:pPr>
    <w:rPr>
      <w:rFonts w:eastAsia="Times New Roman"/>
      <w:sz w:val="20"/>
    </w:rPr>
  </w:style>
  <w:style w:type="character" w:customStyle="1" w:styleId="Heading1Char">
    <w:name w:val="Heading 1 Char"/>
    <w:basedOn w:val="DefaultParagraphFont"/>
    <w:link w:val="Heading1"/>
    <w:uiPriority w:val="9"/>
    <w:rsid w:val="005F6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12BA2E9D.dotm</Template>
  <TotalTime>0</TotalTime>
  <Pages>4</Pages>
  <Words>1299</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Disclosures for Judicial and Administrative Proceedings</vt:lpstr>
    </vt:vector>
  </TitlesOfParts>
  <Company>Gray Plant Mooty</Company>
  <LinksUpToDate>false</LinksUpToDate>
  <CharactersWithSpaces>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Disclosures for Judicial and Administrative Proceedings</dc:title>
  <dc:subject>Judicial and Administrative Proceedings</dc:subject>
  <dc:creator>Reiland, Julia C.</dc:creator>
  <cp:lastModifiedBy>Johnson, Aly A.</cp:lastModifiedBy>
  <cp:revision>2</cp:revision>
  <cp:lastPrinted>2016-10-31T20:01:00Z</cp:lastPrinted>
  <dcterms:created xsi:type="dcterms:W3CDTF">2017-11-15T16:54:00Z</dcterms:created>
  <dcterms:modified xsi:type="dcterms:W3CDTF">2017-11-15T16:54:00Z</dcterms:modified>
  <cp:category>Foundations in Privacy Toolkit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590af347-6e1b-4743-b26b-f1234bde1cd3</vt:lpwstr>
  </property>
</Properties>
</file>