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92" w:rsidRPr="0089751C" w:rsidRDefault="005F237C" w:rsidP="00127EBC">
      <w:pPr>
        <w:pStyle w:val="Heading1"/>
      </w:pPr>
      <w:bookmarkStart w:id="0" w:name="_GoBack"/>
      <w:bookmarkEnd w:id="0"/>
      <w:r w:rsidRPr="0089751C">
        <w:t>HIPAA Authorization Checklist</w:t>
      </w:r>
    </w:p>
    <w:p w:rsidR="005F237C" w:rsidRDefault="005F237C"/>
    <w:p w:rsidR="007E745E" w:rsidRDefault="007E745E"/>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Description w:val="Table listing regulatory requirements that must appear in a HIPAA authorization form. Second column has space for notes and the third column has a space to check off the required items."/>
      </w:tblPr>
      <w:tblGrid>
        <w:gridCol w:w="7767"/>
        <w:gridCol w:w="804"/>
        <w:gridCol w:w="1019"/>
      </w:tblGrid>
      <w:tr w:rsidR="00646C93" w:rsidTr="00646C93">
        <w:trPr>
          <w:tblHeader/>
        </w:trPr>
        <w:tc>
          <w:tcPr>
            <w:tcW w:w="0" w:type="auto"/>
            <w:gridSpan w:val="3"/>
            <w:shd w:val="clear" w:color="auto" w:fill="BFBFBF" w:themeFill="background1" w:themeFillShade="BF"/>
          </w:tcPr>
          <w:p w:rsidR="00646C93" w:rsidRPr="007E745E" w:rsidRDefault="00646C93" w:rsidP="00646C93">
            <w:pPr>
              <w:jc w:val="center"/>
              <w:rPr>
                <w:b/>
              </w:rPr>
            </w:pPr>
            <w:r w:rsidRPr="007E745E">
              <w:rPr>
                <w:b/>
              </w:rPr>
              <w:t>Required Elements</w:t>
            </w:r>
          </w:p>
          <w:p w:rsidR="00646C93" w:rsidRPr="007E745E" w:rsidRDefault="00646C93" w:rsidP="00646C93">
            <w:pPr>
              <w:jc w:val="center"/>
              <w:rPr>
                <w:b/>
              </w:rPr>
            </w:pPr>
          </w:p>
          <w:p w:rsidR="00646C93" w:rsidRPr="007E745E" w:rsidRDefault="00646C93" w:rsidP="00646C93">
            <w:pPr>
              <w:jc w:val="center"/>
              <w:rPr>
                <w:b/>
              </w:rPr>
            </w:pPr>
            <w:r w:rsidRPr="007E745E">
              <w:rPr>
                <w:b/>
              </w:rPr>
              <w:t xml:space="preserve">The following elements/statements </w:t>
            </w:r>
            <w:r w:rsidRPr="007E745E">
              <w:rPr>
                <w:b/>
                <w:u w:val="single"/>
              </w:rPr>
              <w:t>must</w:t>
            </w:r>
            <w:r w:rsidRPr="007E745E">
              <w:rPr>
                <w:b/>
              </w:rPr>
              <w:t xml:space="preserve"> appear in a HIPAA authorization form.</w:t>
            </w:r>
          </w:p>
        </w:tc>
      </w:tr>
      <w:tr w:rsidR="005F237C" w:rsidTr="00646C93">
        <w:tc>
          <w:tcPr>
            <w:tcW w:w="0" w:type="auto"/>
            <w:shd w:val="clear" w:color="auto" w:fill="D9D9D9" w:themeFill="background1" w:themeFillShade="D9"/>
          </w:tcPr>
          <w:p w:rsidR="005F237C" w:rsidRDefault="005F237C" w:rsidP="005F237C">
            <w:r w:rsidRPr="005F237C">
              <w:rPr>
                <w:b/>
              </w:rPr>
              <w:t>164.508(c)</w:t>
            </w:r>
            <w:r w:rsidR="009A6541">
              <w:rPr>
                <w:b/>
              </w:rPr>
              <w:t>(1)</w:t>
            </w:r>
            <w:r w:rsidRPr="005F237C">
              <w:rPr>
                <w:b/>
              </w:rPr>
              <w:t>:  Core Elements</w:t>
            </w:r>
            <w:r>
              <w:t>:  An authorization must include the following:</w:t>
            </w:r>
          </w:p>
        </w:tc>
        <w:tc>
          <w:tcPr>
            <w:tcW w:w="0" w:type="auto"/>
            <w:shd w:val="clear" w:color="auto" w:fill="D9D9D9" w:themeFill="background1" w:themeFillShade="D9"/>
          </w:tcPr>
          <w:p w:rsidR="005F237C" w:rsidRPr="0063496A" w:rsidRDefault="005F237C">
            <w:pPr>
              <w:rPr>
                <w:b/>
              </w:rPr>
            </w:pPr>
            <w:r w:rsidRPr="0063496A">
              <w:rPr>
                <w:b/>
              </w:rPr>
              <w:t>Notes</w:t>
            </w:r>
          </w:p>
        </w:tc>
        <w:tc>
          <w:tcPr>
            <w:tcW w:w="0" w:type="auto"/>
            <w:shd w:val="clear" w:color="auto" w:fill="D9D9D9" w:themeFill="background1" w:themeFillShade="D9"/>
          </w:tcPr>
          <w:p w:rsidR="005F237C" w:rsidRPr="0063496A" w:rsidRDefault="005F237C">
            <w:pPr>
              <w:rPr>
                <w:b/>
              </w:rPr>
            </w:pPr>
            <w:r w:rsidRPr="0063496A">
              <w:rPr>
                <w:b/>
              </w:rPr>
              <w:t>Check-off</w:t>
            </w:r>
          </w:p>
        </w:tc>
      </w:tr>
      <w:tr w:rsidR="005F237C" w:rsidTr="00646C93">
        <w:tc>
          <w:tcPr>
            <w:tcW w:w="0" w:type="auto"/>
          </w:tcPr>
          <w:p w:rsidR="005F237C" w:rsidRDefault="005F237C">
            <w:r>
              <w:t xml:space="preserve">(1) </w:t>
            </w:r>
            <w:r w:rsidR="0089751C" w:rsidRPr="0089751C">
              <w:rPr>
                <w:b/>
              </w:rPr>
              <w:t>Description</w:t>
            </w:r>
            <w:r w:rsidR="0089751C">
              <w:t xml:space="preserve">.  </w:t>
            </w:r>
            <w:r>
              <w:t>A description of the information to be used or disclosed that identifies the information in a specific and meaningful fashion</w:t>
            </w:r>
          </w:p>
        </w:tc>
        <w:tc>
          <w:tcPr>
            <w:tcW w:w="0" w:type="auto"/>
          </w:tcPr>
          <w:p w:rsidR="005F237C" w:rsidRDefault="005F237C"/>
        </w:tc>
        <w:tc>
          <w:tcPr>
            <w:tcW w:w="0" w:type="auto"/>
          </w:tcPr>
          <w:p w:rsidR="005F237C" w:rsidRDefault="005F237C"/>
        </w:tc>
      </w:tr>
      <w:tr w:rsidR="005F237C" w:rsidTr="00646C93">
        <w:tc>
          <w:tcPr>
            <w:tcW w:w="0" w:type="auto"/>
          </w:tcPr>
          <w:p w:rsidR="005F237C" w:rsidRDefault="005F237C" w:rsidP="005F237C">
            <w:r>
              <w:t xml:space="preserve">(2) </w:t>
            </w:r>
            <w:r w:rsidR="0089751C" w:rsidRPr="0089751C">
              <w:rPr>
                <w:b/>
              </w:rPr>
              <w:t>Name of disclosing person/entity</w:t>
            </w:r>
            <w:r w:rsidR="0089751C">
              <w:t xml:space="preserve">. </w:t>
            </w:r>
            <w:r>
              <w:t>The name (or other specific identification) of the person (or class of persons) authorized to use or disclose information.</w:t>
            </w:r>
          </w:p>
        </w:tc>
        <w:tc>
          <w:tcPr>
            <w:tcW w:w="0" w:type="auto"/>
          </w:tcPr>
          <w:p w:rsidR="005F237C" w:rsidRDefault="005F237C"/>
        </w:tc>
        <w:tc>
          <w:tcPr>
            <w:tcW w:w="0" w:type="auto"/>
          </w:tcPr>
          <w:p w:rsidR="005F237C" w:rsidRDefault="005F237C"/>
        </w:tc>
      </w:tr>
      <w:tr w:rsidR="005F237C" w:rsidTr="00646C93">
        <w:tc>
          <w:tcPr>
            <w:tcW w:w="0" w:type="auto"/>
          </w:tcPr>
          <w:p w:rsidR="005F237C" w:rsidRDefault="005F237C">
            <w:r>
              <w:t xml:space="preserve">(3) </w:t>
            </w:r>
            <w:r w:rsidR="0089751C" w:rsidRPr="0089751C">
              <w:rPr>
                <w:b/>
              </w:rPr>
              <w:t>Name of receiving person/entity</w:t>
            </w:r>
            <w:r w:rsidR="0089751C">
              <w:t xml:space="preserve">.  </w:t>
            </w:r>
            <w:r>
              <w:t xml:space="preserve">The name (or other specific identification) of the person (or class of persons) authorized to </w:t>
            </w:r>
            <w:r w:rsidR="00A64672">
              <w:t xml:space="preserve">receive or use information </w:t>
            </w:r>
          </w:p>
        </w:tc>
        <w:tc>
          <w:tcPr>
            <w:tcW w:w="0" w:type="auto"/>
          </w:tcPr>
          <w:p w:rsidR="005F237C" w:rsidRDefault="005F237C"/>
        </w:tc>
        <w:tc>
          <w:tcPr>
            <w:tcW w:w="0" w:type="auto"/>
          </w:tcPr>
          <w:p w:rsidR="005F237C" w:rsidRDefault="005F237C"/>
        </w:tc>
      </w:tr>
      <w:tr w:rsidR="005F237C" w:rsidTr="00646C93">
        <w:tc>
          <w:tcPr>
            <w:tcW w:w="0" w:type="auto"/>
          </w:tcPr>
          <w:p w:rsidR="005F237C" w:rsidRDefault="00A64672">
            <w:r>
              <w:t xml:space="preserve">(4) </w:t>
            </w:r>
            <w:r w:rsidR="0089751C" w:rsidRPr="0089751C">
              <w:rPr>
                <w:b/>
              </w:rPr>
              <w:t>Purpose</w:t>
            </w:r>
            <w:r w:rsidR="0089751C">
              <w:t xml:space="preserve">.  </w:t>
            </w:r>
            <w:r>
              <w:t>A description of the purpose for the use or disclosure.  The statement “at the request of the individual” is sufficient if the individual initiates the authorization and does not provide additional information regarding the purpose.</w:t>
            </w:r>
          </w:p>
        </w:tc>
        <w:tc>
          <w:tcPr>
            <w:tcW w:w="0" w:type="auto"/>
          </w:tcPr>
          <w:p w:rsidR="005F237C" w:rsidRDefault="005F237C"/>
        </w:tc>
        <w:tc>
          <w:tcPr>
            <w:tcW w:w="0" w:type="auto"/>
          </w:tcPr>
          <w:p w:rsidR="005F237C" w:rsidRDefault="005F237C"/>
        </w:tc>
      </w:tr>
      <w:tr w:rsidR="005F237C" w:rsidTr="00646C93">
        <w:tc>
          <w:tcPr>
            <w:tcW w:w="0" w:type="auto"/>
          </w:tcPr>
          <w:p w:rsidR="005F237C" w:rsidRDefault="00A64672" w:rsidP="0089751C">
            <w:r>
              <w:t xml:space="preserve">(5) </w:t>
            </w:r>
            <w:r w:rsidR="0089751C" w:rsidRPr="0089751C">
              <w:rPr>
                <w:b/>
              </w:rPr>
              <w:t>Expiration date/</w:t>
            </w:r>
            <w:r w:rsidRPr="0089751C">
              <w:rPr>
                <w:b/>
              </w:rPr>
              <w:t>event</w:t>
            </w:r>
            <w:r>
              <w:t>.  The statement, “end of the research study,” “none,” or similar language is sufficient if the authorization is for a use or disclosure of PHI for research.</w:t>
            </w:r>
          </w:p>
        </w:tc>
        <w:tc>
          <w:tcPr>
            <w:tcW w:w="0" w:type="auto"/>
          </w:tcPr>
          <w:p w:rsidR="005F237C" w:rsidRDefault="005F237C"/>
        </w:tc>
        <w:tc>
          <w:tcPr>
            <w:tcW w:w="0" w:type="auto"/>
          </w:tcPr>
          <w:p w:rsidR="005F237C" w:rsidRDefault="005F237C"/>
        </w:tc>
      </w:tr>
      <w:tr w:rsidR="009A6541" w:rsidTr="00646C93">
        <w:tc>
          <w:tcPr>
            <w:tcW w:w="0" w:type="auto"/>
          </w:tcPr>
          <w:p w:rsidR="009A6541" w:rsidRDefault="009A6541">
            <w:r>
              <w:t xml:space="preserve">(6) </w:t>
            </w:r>
            <w:r w:rsidR="0089751C" w:rsidRPr="0089751C">
              <w:rPr>
                <w:b/>
              </w:rPr>
              <w:t>Date/Signature</w:t>
            </w:r>
            <w:r w:rsidR="0089751C">
              <w:t xml:space="preserve">.  </w:t>
            </w:r>
            <w:r>
              <w:t xml:space="preserve">The </w:t>
            </w:r>
            <w:r w:rsidR="0089751C">
              <w:t xml:space="preserve">date and </w:t>
            </w:r>
            <w:r>
              <w:t>signature of the individual</w:t>
            </w:r>
            <w:r w:rsidR="0089751C">
              <w:t xml:space="preserve"> providing the authorization</w:t>
            </w:r>
            <w:r>
              <w:t xml:space="preserve">. If signed by an authorized representative, it must also include a description of the representative’s authority to act on behalf of the individual. </w:t>
            </w:r>
          </w:p>
        </w:tc>
        <w:tc>
          <w:tcPr>
            <w:tcW w:w="0" w:type="auto"/>
          </w:tcPr>
          <w:p w:rsidR="009A6541" w:rsidRDefault="009A6541"/>
        </w:tc>
        <w:tc>
          <w:tcPr>
            <w:tcW w:w="0" w:type="auto"/>
          </w:tcPr>
          <w:p w:rsidR="009A6541" w:rsidRDefault="009A6541"/>
        </w:tc>
      </w:tr>
      <w:tr w:rsidR="009A6541" w:rsidTr="00646C93">
        <w:tc>
          <w:tcPr>
            <w:tcW w:w="0" w:type="auto"/>
            <w:shd w:val="clear" w:color="auto" w:fill="D9D9D9" w:themeFill="background1" w:themeFillShade="D9"/>
          </w:tcPr>
          <w:p w:rsidR="009A6541" w:rsidRPr="00446CAF" w:rsidRDefault="009A6541" w:rsidP="009A6541">
            <w:r w:rsidRPr="005F237C">
              <w:rPr>
                <w:b/>
              </w:rPr>
              <w:t>164.508(c</w:t>
            </w:r>
            <w:proofErr w:type="gramStart"/>
            <w:r w:rsidRPr="005F237C">
              <w:rPr>
                <w:b/>
              </w:rPr>
              <w:t>)</w:t>
            </w:r>
            <w:r>
              <w:rPr>
                <w:b/>
              </w:rPr>
              <w:t>(</w:t>
            </w:r>
            <w:proofErr w:type="gramEnd"/>
            <w:r>
              <w:rPr>
                <w:b/>
              </w:rPr>
              <w:t>1)</w:t>
            </w:r>
            <w:r w:rsidRPr="005F237C">
              <w:rPr>
                <w:b/>
              </w:rPr>
              <w:t xml:space="preserve">:  </w:t>
            </w:r>
            <w:r>
              <w:rPr>
                <w:b/>
              </w:rPr>
              <w:t>Required Statements</w:t>
            </w:r>
            <w:r w:rsidR="00446CAF">
              <w:rPr>
                <w:b/>
              </w:rPr>
              <w:t xml:space="preserve">.  </w:t>
            </w:r>
            <w:r w:rsidR="00446CAF">
              <w:t>The authorization must include a statement describing:</w:t>
            </w:r>
          </w:p>
        </w:tc>
        <w:tc>
          <w:tcPr>
            <w:tcW w:w="0" w:type="auto"/>
            <w:shd w:val="clear" w:color="auto" w:fill="D9D9D9" w:themeFill="background1" w:themeFillShade="D9"/>
          </w:tcPr>
          <w:p w:rsidR="009A6541" w:rsidRPr="0063496A" w:rsidRDefault="0063496A">
            <w:pPr>
              <w:rPr>
                <w:b/>
              </w:rPr>
            </w:pPr>
            <w:r w:rsidRPr="0063496A">
              <w:rPr>
                <w:b/>
              </w:rPr>
              <w:t>Notes</w:t>
            </w:r>
          </w:p>
        </w:tc>
        <w:tc>
          <w:tcPr>
            <w:tcW w:w="0" w:type="auto"/>
            <w:shd w:val="clear" w:color="auto" w:fill="D9D9D9" w:themeFill="background1" w:themeFillShade="D9"/>
          </w:tcPr>
          <w:p w:rsidR="009A6541" w:rsidRDefault="0063496A">
            <w:r w:rsidRPr="0063496A">
              <w:rPr>
                <w:b/>
              </w:rPr>
              <w:t>Check-off</w:t>
            </w:r>
          </w:p>
        </w:tc>
      </w:tr>
      <w:tr w:rsidR="009A6541" w:rsidTr="00646C93">
        <w:tc>
          <w:tcPr>
            <w:tcW w:w="0" w:type="auto"/>
          </w:tcPr>
          <w:p w:rsidR="009A6541" w:rsidRDefault="00446CAF" w:rsidP="00C9750D">
            <w:r>
              <w:t xml:space="preserve">(1) </w:t>
            </w:r>
            <w:r w:rsidRPr="00446CAF">
              <w:rPr>
                <w:b/>
              </w:rPr>
              <w:t>The right to revoke</w:t>
            </w:r>
            <w:r w:rsidR="00C9750D">
              <w:t>. Must state that</w:t>
            </w:r>
            <w:r>
              <w:t xml:space="preserve"> the individual has a right to revok</w:t>
            </w:r>
            <w:r w:rsidR="00C9750D">
              <w:t xml:space="preserve">e the authorization in writing </w:t>
            </w:r>
            <w:r>
              <w:t>and either</w:t>
            </w:r>
            <w:r w:rsidR="000F704B">
              <w:t>:</w:t>
            </w:r>
            <w:r>
              <w:t xml:space="preserve"> (A) the exceptions to the right to revoke and a description of how the individual may revoke the au</w:t>
            </w:r>
            <w:r w:rsidR="002E7461">
              <w:t>thorization; or (B) i</w:t>
            </w:r>
            <w:r>
              <w:t>f exceptions to the right to revoke are addressed in the Notice of Privacy Practices, a reference to such Notice.</w:t>
            </w:r>
          </w:p>
        </w:tc>
        <w:tc>
          <w:tcPr>
            <w:tcW w:w="0" w:type="auto"/>
          </w:tcPr>
          <w:p w:rsidR="009A6541" w:rsidRDefault="009A6541"/>
        </w:tc>
        <w:tc>
          <w:tcPr>
            <w:tcW w:w="0" w:type="auto"/>
          </w:tcPr>
          <w:p w:rsidR="009A6541" w:rsidRDefault="009A6541"/>
        </w:tc>
      </w:tr>
      <w:tr w:rsidR="009A6541" w:rsidTr="00646C93">
        <w:tc>
          <w:tcPr>
            <w:tcW w:w="0" w:type="auto"/>
          </w:tcPr>
          <w:p w:rsidR="009A6541" w:rsidRDefault="002E7461" w:rsidP="002E7461">
            <w:r>
              <w:t xml:space="preserve">(2) </w:t>
            </w:r>
            <w:r w:rsidRPr="002E7461">
              <w:rPr>
                <w:b/>
              </w:rPr>
              <w:t>Ability/Inability to condition services on authorization</w:t>
            </w:r>
            <w:r w:rsidR="00C9750D">
              <w:t>.  Must state</w:t>
            </w:r>
            <w:r>
              <w:t xml:space="preserve"> either</w:t>
            </w:r>
            <w:r w:rsidR="0089751C">
              <w:t>:</w:t>
            </w:r>
            <w:r>
              <w:t xml:space="preserve"> (A) the CE may not condition treatment, payment, enrollment or eligibility for benefits on whether the individual signs an authorization; or (B) the consequences to the individual of a refusal to sign the authorization.</w:t>
            </w:r>
          </w:p>
        </w:tc>
        <w:tc>
          <w:tcPr>
            <w:tcW w:w="0" w:type="auto"/>
          </w:tcPr>
          <w:p w:rsidR="009A6541" w:rsidRDefault="009A6541"/>
        </w:tc>
        <w:tc>
          <w:tcPr>
            <w:tcW w:w="0" w:type="auto"/>
          </w:tcPr>
          <w:p w:rsidR="009A6541" w:rsidRDefault="009A6541"/>
        </w:tc>
      </w:tr>
      <w:tr w:rsidR="009A6541" w:rsidTr="00646C93">
        <w:tc>
          <w:tcPr>
            <w:tcW w:w="0" w:type="auto"/>
          </w:tcPr>
          <w:p w:rsidR="009A6541" w:rsidRDefault="002E7461">
            <w:r>
              <w:t xml:space="preserve">(3)  </w:t>
            </w:r>
            <w:proofErr w:type="spellStart"/>
            <w:r w:rsidR="0089751C" w:rsidRPr="0089751C">
              <w:rPr>
                <w:b/>
              </w:rPr>
              <w:t>Redisclosure</w:t>
            </w:r>
            <w:proofErr w:type="spellEnd"/>
            <w:r w:rsidR="0089751C">
              <w:t xml:space="preserve">.  The potential for information disclosed to be subject to a </w:t>
            </w:r>
            <w:proofErr w:type="spellStart"/>
            <w:r w:rsidR="0089751C">
              <w:t>redisclosure</w:t>
            </w:r>
            <w:proofErr w:type="spellEnd"/>
            <w:r w:rsidR="0089751C">
              <w:t xml:space="preserve"> by the recipient and no longer protected by the Privacy Rule. </w:t>
            </w:r>
          </w:p>
        </w:tc>
        <w:tc>
          <w:tcPr>
            <w:tcW w:w="0" w:type="auto"/>
          </w:tcPr>
          <w:p w:rsidR="009A6541" w:rsidRDefault="009A6541"/>
        </w:tc>
        <w:tc>
          <w:tcPr>
            <w:tcW w:w="0" w:type="auto"/>
          </w:tcPr>
          <w:p w:rsidR="009A6541" w:rsidRDefault="009A6541"/>
        </w:tc>
      </w:tr>
      <w:tr w:rsidR="005F237C" w:rsidTr="00646C93">
        <w:tc>
          <w:tcPr>
            <w:tcW w:w="0" w:type="auto"/>
            <w:shd w:val="clear" w:color="auto" w:fill="D9D9D9" w:themeFill="background1" w:themeFillShade="D9"/>
          </w:tcPr>
          <w:p w:rsidR="005F237C" w:rsidRPr="0089751C" w:rsidRDefault="0089751C" w:rsidP="0089751C">
            <w:pPr>
              <w:tabs>
                <w:tab w:val="left" w:pos="2596"/>
              </w:tabs>
              <w:rPr>
                <w:b/>
              </w:rPr>
            </w:pPr>
            <w:r w:rsidRPr="0089751C">
              <w:rPr>
                <w:b/>
              </w:rPr>
              <w:t>Other requirements</w:t>
            </w:r>
            <w:r w:rsidRPr="0089751C">
              <w:rPr>
                <w:b/>
              </w:rPr>
              <w:tab/>
            </w:r>
          </w:p>
        </w:tc>
        <w:tc>
          <w:tcPr>
            <w:tcW w:w="0" w:type="auto"/>
            <w:shd w:val="clear" w:color="auto" w:fill="D9D9D9" w:themeFill="background1" w:themeFillShade="D9"/>
          </w:tcPr>
          <w:p w:rsidR="005F237C" w:rsidRPr="0089751C" w:rsidRDefault="0063496A">
            <w:pPr>
              <w:rPr>
                <w:b/>
              </w:rPr>
            </w:pPr>
            <w:r>
              <w:rPr>
                <w:b/>
              </w:rPr>
              <w:t>Notes</w:t>
            </w:r>
          </w:p>
        </w:tc>
        <w:tc>
          <w:tcPr>
            <w:tcW w:w="0" w:type="auto"/>
            <w:shd w:val="clear" w:color="auto" w:fill="D9D9D9" w:themeFill="background1" w:themeFillShade="D9"/>
          </w:tcPr>
          <w:p w:rsidR="005F237C" w:rsidRPr="0089751C" w:rsidRDefault="0063496A">
            <w:pPr>
              <w:rPr>
                <w:b/>
              </w:rPr>
            </w:pPr>
            <w:r w:rsidRPr="0063496A">
              <w:rPr>
                <w:b/>
              </w:rPr>
              <w:t>Check-off</w:t>
            </w:r>
          </w:p>
        </w:tc>
      </w:tr>
      <w:tr w:rsidR="0089751C" w:rsidTr="00646C93">
        <w:tc>
          <w:tcPr>
            <w:tcW w:w="0" w:type="auto"/>
          </w:tcPr>
          <w:p w:rsidR="0089751C" w:rsidRDefault="0089751C" w:rsidP="0089751C">
            <w:pPr>
              <w:tabs>
                <w:tab w:val="left" w:pos="2596"/>
              </w:tabs>
            </w:pPr>
            <w:r>
              <w:t xml:space="preserve">(1) </w:t>
            </w:r>
            <w:r w:rsidRPr="0089751C">
              <w:rPr>
                <w:b/>
              </w:rPr>
              <w:t>Plain Language</w:t>
            </w:r>
            <w:r>
              <w:t>.  The authorization must be written in plain language.</w:t>
            </w:r>
          </w:p>
        </w:tc>
        <w:tc>
          <w:tcPr>
            <w:tcW w:w="0" w:type="auto"/>
          </w:tcPr>
          <w:p w:rsidR="0089751C" w:rsidRDefault="0089751C"/>
        </w:tc>
        <w:tc>
          <w:tcPr>
            <w:tcW w:w="0" w:type="auto"/>
          </w:tcPr>
          <w:p w:rsidR="0089751C" w:rsidRDefault="0089751C"/>
        </w:tc>
      </w:tr>
      <w:tr w:rsidR="0089751C" w:rsidTr="00646C93">
        <w:tc>
          <w:tcPr>
            <w:tcW w:w="0" w:type="auto"/>
          </w:tcPr>
          <w:p w:rsidR="0089751C" w:rsidRDefault="0089751C" w:rsidP="0089751C">
            <w:pPr>
              <w:tabs>
                <w:tab w:val="left" w:pos="2596"/>
              </w:tabs>
            </w:pPr>
            <w:r>
              <w:t xml:space="preserve">(2) </w:t>
            </w:r>
            <w:r w:rsidRPr="0089751C">
              <w:rPr>
                <w:b/>
              </w:rPr>
              <w:t>Copy</w:t>
            </w:r>
            <w:r>
              <w:t xml:space="preserve">.  CE must provide the individual with a copy of the signed authorization. </w:t>
            </w:r>
          </w:p>
        </w:tc>
        <w:tc>
          <w:tcPr>
            <w:tcW w:w="0" w:type="auto"/>
          </w:tcPr>
          <w:p w:rsidR="0089751C" w:rsidRDefault="0089751C"/>
        </w:tc>
        <w:tc>
          <w:tcPr>
            <w:tcW w:w="0" w:type="auto"/>
          </w:tcPr>
          <w:p w:rsidR="0089751C" w:rsidRDefault="0089751C"/>
        </w:tc>
      </w:tr>
      <w:tr w:rsidR="0089751C" w:rsidTr="00646C93">
        <w:tc>
          <w:tcPr>
            <w:tcW w:w="0" w:type="auto"/>
          </w:tcPr>
          <w:p w:rsidR="0089751C" w:rsidRDefault="000F704B" w:rsidP="00895D3C">
            <w:pPr>
              <w:tabs>
                <w:tab w:val="left" w:pos="2596"/>
              </w:tabs>
            </w:pPr>
            <w:r>
              <w:t xml:space="preserve">(3) </w:t>
            </w:r>
            <w:r w:rsidRPr="000F704B">
              <w:rPr>
                <w:b/>
              </w:rPr>
              <w:t>Compound authorizations</w:t>
            </w:r>
            <w:r>
              <w:t xml:space="preserve">.  The authorization is not combined with any other document unless: (1) the authorization is for use and disclosure of PHI </w:t>
            </w:r>
            <w:r>
              <w:lastRenderedPageBreak/>
              <w:t>for a research study, and it is combined with another type of written permission for the same or another research study</w:t>
            </w:r>
            <w:r w:rsidR="00A73863">
              <w:t xml:space="preserve"> (provided such compound authorization clearly differentiates between any conditioned and unconditioned research components on the provision of such authorization)</w:t>
            </w:r>
            <w:r>
              <w:t xml:space="preserve">; (2) the authorization is for a use or disclosure of psychotherapy notes and is combined with another authorization for a use or disclosure of psychotherapy notes; (3) </w:t>
            </w:r>
            <w:r w:rsidR="00895D3C">
              <w:t>the authorization is combined with another authorization (other than an authorization for a use or disclosure of psychotherapy notes), provided a CE has not conditioned the provision of treatment, payment, enrollment in health plan, or eligibility for benefits on the signing of one of the authorizations (unless such authorization is for number (1) above).</w:t>
            </w:r>
          </w:p>
        </w:tc>
        <w:tc>
          <w:tcPr>
            <w:tcW w:w="0" w:type="auto"/>
          </w:tcPr>
          <w:p w:rsidR="0089751C" w:rsidRPr="00895D3C" w:rsidRDefault="0089751C" w:rsidP="00D52DBF"/>
        </w:tc>
        <w:tc>
          <w:tcPr>
            <w:tcW w:w="0" w:type="auto"/>
          </w:tcPr>
          <w:p w:rsidR="0089751C" w:rsidRDefault="0089751C"/>
        </w:tc>
      </w:tr>
      <w:tr w:rsidR="00895D3C" w:rsidTr="00646C93">
        <w:tc>
          <w:tcPr>
            <w:tcW w:w="0" w:type="auto"/>
          </w:tcPr>
          <w:p w:rsidR="00895D3C" w:rsidRDefault="00895D3C" w:rsidP="00895D3C">
            <w:pPr>
              <w:tabs>
                <w:tab w:val="left" w:pos="2596"/>
              </w:tabs>
            </w:pPr>
            <w:r>
              <w:lastRenderedPageBreak/>
              <w:t xml:space="preserve">(4) </w:t>
            </w:r>
            <w:r w:rsidRPr="00895D3C">
              <w:rPr>
                <w:b/>
              </w:rPr>
              <w:t>Marketing</w:t>
            </w:r>
            <w:r>
              <w:t>.  If the authorization is for marketing, and the marketing involves financial remuneration to the CE from the third party, the authorization must state that such remuneration is involved.</w:t>
            </w:r>
          </w:p>
        </w:tc>
        <w:tc>
          <w:tcPr>
            <w:tcW w:w="0" w:type="auto"/>
          </w:tcPr>
          <w:p w:rsidR="00895D3C" w:rsidRDefault="00895D3C"/>
        </w:tc>
        <w:tc>
          <w:tcPr>
            <w:tcW w:w="0" w:type="auto"/>
          </w:tcPr>
          <w:p w:rsidR="00895D3C" w:rsidRDefault="00895D3C"/>
        </w:tc>
      </w:tr>
      <w:tr w:rsidR="00895D3C" w:rsidTr="00646C93">
        <w:tc>
          <w:tcPr>
            <w:tcW w:w="0" w:type="auto"/>
          </w:tcPr>
          <w:p w:rsidR="00895D3C" w:rsidRDefault="00895D3C" w:rsidP="00895D3C">
            <w:pPr>
              <w:tabs>
                <w:tab w:val="left" w:pos="2596"/>
              </w:tabs>
            </w:pPr>
            <w:r>
              <w:t xml:space="preserve">(5)  </w:t>
            </w:r>
            <w:r w:rsidRPr="00895D3C">
              <w:rPr>
                <w:b/>
              </w:rPr>
              <w:t>Sale of PHI</w:t>
            </w:r>
            <w:r>
              <w:t>.  If the authorization is for sale of PHI, the authorization must state that the disclosure will result in remuneration to the CE.</w:t>
            </w:r>
          </w:p>
        </w:tc>
        <w:tc>
          <w:tcPr>
            <w:tcW w:w="0" w:type="auto"/>
          </w:tcPr>
          <w:p w:rsidR="00895D3C" w:rsidRDefault="00895D3C"/>
        </w:tc>
        <w:tc>
          <w:tcPr>
            <w:tcW w:w="0" w:type="auto"/>
          </w:tcPr>
          <w:p w:rsidR="00895D3C" w:rsidRDefault="00895D3C"/>
        </w:tc>
      </w:tr>
    </w:tbl>
    <w:p w:rsidR="005F237C" w:rsidRDefault="005F237C"/>
    <w:p w:rsidR="00D23041" w:rsidRDefault="00D23041"/>
    <w:p w:rsidR="00D23041" w:rsidRDefault="00D23041"/>
    <w:sectPr w:rsidR="00D23041" w:rsidSect="00D23041">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41" w:rsidRDefault="00D23041" w:rsidP="00D23041">
      <w:r>
        <w:separator/>
      </w:r>
    </w:p>
  </w:endnote>
  <w:endnote w:type="continuationSeparator" w:id="0">
    <w:p w:rsidR="00D23041" w:rsidRDefault="00D23041" w:rsidP="00D2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41" w:rsidRPr="00D23041" w:rsidRDefault="00D23041" w:rsidP="00D23041">
    <w:pPr>
      <w:pStyle w:val="Footer"/>
    </w:pPr>
    <w:r w:rsidRPr="00D23041">
      <w:tab/>
    </w:r>
    <w:r w:rsidRPr="00D23041">
      <w:rPr>
        <w:rStyle w:val="PageNumber"/>
      </w:rPr>
      <w:fldChar w:fldCharType="begin"/>
    </w:r>
    <w:r w:rsidRPr="00D23041">
      <w:rPr>
        <w:rStyle w:val="PageNumber"/>
      </w:rPr>
      <w:instrText xml:space="preserve"> PAGE  \* MERGEFORMAT </w:instrText>
    </w:r>
    <w:r w:rsidRPr="00D23041">
      <w:rPr>
        <w:rStyle w:val="PageNumber"/>
      </w:rPr>
      <w:fldChar w:fldCharType="separate"/>
    </w:r>
    <w:r w:rsidR="0069564D">
      <w:rPr>
        <w:rStyle w:val="PageNumber"/>
        <w:noProof/>
      </w:rPr>
      <w:t>2</w:t>
    </w:r>
    <w:r w:rsidRPr="00D23041">
      <w:rPr>
        <w:rStyle w:val="PageNumber"/>
      </w:rPr>
      <w:fldChar w:fldCharType="end"/>
    </w:r>
    <w:r w:rsidRPr="00D2304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41" w:rsidRDefault="00D23041" w:rsidP="00D23041">
      <w:r>
        <w:separator/>
      </w:r>
    </w:p>
  </w:footnote>
  <w:footnote w:type="continuationSeparator" w:id="0">
    <w:p w:rsidR="00D23041" w:rsidRDefault="00D23041" w:rsidP="00D2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2#H┚┩975~ŘmÔF⌓†U⌙Ìö⌈pWãÂ₲)Äº²⌡Ŧ0!ƙÂ₱ë⌓⌉t÷Ñ&quot;3@ÖèìÉK⌘8‿þ⌡8řQéˋ*+ç₳;Û[Â½Ú9ÖXè¿⌗oõm¬Uñ⌡:dþ[M´․⌆r ƃ⌕EÒ‚†ûþ1℧-2‬¹‛ðCÃ;*^¿ŦŚ!¶|ŘA?•-.°Mäŧ⌜±ð+Ù=\^=7ba011"/>
    <w:docVar w:name="zzmp10LastTrailerInserted_4347" w:val="^`~#mp!@(?2#H┚┩975~ŘmÔF⌓†U⌙Ìö⌈pWãÂ₲)Äº²⌡Ŧ0!ƙÂ₱ë⌓⌉t÷Ñ&quot;3@ÖèìÉK⌘8‿þ⌡8řQéˋ*+ç₳;Û[Â½Ú9ÖXè¿⌗oõm¬Uñ⌡:dþ[M´․⌆r ƃ⌕EÒ‚†ûþ1℧-2‬¹‛ðCÃ;*^¿ŦŚ!¶|ŘA?•-.°Mäŧ⌜±ð+Ù=\^=7ba011"/>
    <w:docVar w:name="zzmp10mSEGsValidated" w:val="1"/>
  </w:docVars>
  <w:rsids>
    <w:rsidRoot w:val="005F237C"/>
    <w:rsid w:val="000F704B"/>
    <w:rsid w:val="00127EBC"/>
    <w:rsid w:val="002E7461"/>
    <w:rsid w:val="00446CAF"/>
    <w:rsid w:val="005875BE"/>
    <w:rsid w:val="005F237C"/>
    <w:rsid w:val="0063496A"/>
    <w:rsid w:val="00646C93"/>
    <w:rsid w:val="0069564D"/>
    <w:rsid w:val="007D3D5B"/>
    <w:rsid w:val="007E745E"/>
    <w:rsid w:val="008734AD"/>
    <w:rsid w:val="008950C4"/>
    <w:rsid w:val="00895D3C"/>
    <w:rsid w:val="0089751C"/>
    <w:rsid w:val="00915349"/>
    <w:rsid w:val="00930FA7"/>
    <w:rsid w:val="009A6541"/>
    <w:rsid w:val="00A64672"/>
    <w:rsid w:val="00A73863"/>
    <w:rsid w:val="00C9750D"/>
    <w:rsid w:val="00D23041"/>
    <w:rsid w:val="00D52DBF"/>
    <w:rsid w:val="00F16C92"/>
    <w:rsid w:val="00FF737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BE"/>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27EBC"/>
    <w:pPr>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041"/>
    <w:pPr>
      <w:tabs>
        <w:tab w:val="center" w:pos="4680"/>
        <w:tab w:val="right" w:pos="9360"/>
      </w:tabs>
    </w:pPr>
  </w:style>
  <w:style w:type="character" w:customStyle="1" w:styleId="HeaderChar">
    <w:name w:val="Header Char"/>
    <w:basedOn w:val="DefaultParagraphFont"/>
    <w:link w:val="Header"/>
    <w:uiPriority w:val="99"/>
    <w:rsid w:val="00D23041"/>
    <w:rPr>
      <w:rFonts w:ascii="Times New Roman" w:hAnsi="Times New Roman"/>
      <w:sz w:val="24"/>
    </w:rPr>
  </w:style>
  <w:style w:type="paragraph" w:styleId="Footer">
    <w:name w:val="footer"/>
    <w:basedOn w:val="Normal"/>
    <w:link w:val="FooterChar"/>
    <w:uiPriority w:val="99"/>
    <w:unhideWhenUsed/>
    <w:rsid w:val="00D23041"/>
    <w:pPr>
      <w:tabs>
        <w:tab w:val="center" w:pos="4680"/>
        <w:tab w:val="right" w:pos="9360"/>
      </w:tabs>
    </w:pPr>
  </w:style>
  <w:style w:type="character" w:customStyle="1" w:styleId="FooterChar">
    <w:name w:val="Footer Char"/>
    <w:basedOn w:val="DefaultParagraphFont"/>
    <w:link w:val="Footer"/>
    <w:uiPriority w:val="99"/>
    <w:rsid w:val="00D23041"/>
    <w:rPr>
      <w:rFonts w:ascii="Times New Roman" w:hAnsi="Times New Roman"/>
      <w:sz w:val="24"/>
    </w:rPr>
  </w:style>
  <w:style w:type="paragraph" w:customStyle="1" w:styleId="MacPacTrailer">
    <w:name w:val="MacPac Trailer"/>
    <w:rsid w:val="00D23041"/>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D23041"/>
    <w:rPr>
      <w:rFonts w:ascii="Tahoma" w:hAnsi="Tahoma" w:cs="Tahoma"/>
      <w:sz w:val="16"/>
      <w:szCs w:val="16"/>
    </w:rPr>
  </w:style>
  <w:style w:type="character" w:customStyle="1" w:styleId="BalloonTextChar">
    <w:name w:val="Balloon Text Char"/>
    <w:basedOn w:val="DefaultParagraphFont"/>
    <w:link w:val="BalloonText"/>
    <w:uiPriority w:val="99"/>
    <w:semiHidden/>
    <w:rsid w:val="00D23041"/>
    <w:rPr>
      <w:rFonts w:ascii="Tahoma" w:hAnsi="Tahoma" w:cs="Tahoma"/>
      <w:sz w:val="16"/>
      <w:szCs w:val="16"/>
    </w:rPr>
  </w:style>
  <w:style w:type="character" w:styleId="PlaceholderText">
    <w:name w:val="Placeholder Text"/>
    <w:basedOn w:val="DefaultParagraphFont"/>
    <w:uiPriority w:val="99"/>
    <w:semiHidden/>
    <w:rsid w:val="00D23041"/>
    <w:rPr>
      <w:color w:val="808080"/>
    </w:rPr>
  </w:style>
  <w:style w:type="character" w:styleId="PageNumber">
    <w:name w:val="page number"/>
    <w:basedOn w:val="DefaultParagraphFont"/>
    <w:uiPriority w:val="99"/>
    <w:unhideWhenUsed/>
    <w:rsid w:val="00D23041"/>
  </w:style>
  <w:style w:type="character" w:customStyle="1" w:styleId="Heading1Char">
    <w:name w:val="Heading 1 Char"/>
    <w:basedOn w:val="DefaultParagraphFont"/>
    <w:link w:val="Heading1"/>
    <w:uiPriority w:val="9"/>
    <w:rsid w:val="00127EBC"/>
    <w:rPr>
      <w:rFonts w:ascii="Times New Roman" w:hAnsi="Times New Roman"/>
      <w:b/>
      <w:sz w:val="24"/>
      <w:u w:val="single"/>
    </w:rPr>
  </w:style>
  <w:style w:type="paragraph" w:styleId="NoSpacing">
    <w:name w:val="No Spacing"/>
    <w:uiPriority w:val="1"/>
    <w:qFormat/>
    <w:rsid w:val="007E745E"/>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BE"/>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27EBC"/>
    <w:pPr>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041"/>
    <w:pPr>
      <w:tabs>
        <w:tab w:val="center" w:pos="4680"/>
        <w:tab w:val="right" w:pos="9360"/>
      </w:tabs>
    </w:pPr>
  </w:style>
  <w:style w:type="character" w:customStyle="1" w:styleId="HeaderChar">
    <w:name w:val="Header Char"/>
    <w:basedOn w:val="DefaultParagraphFont"/>
    <w:link w:val="Header"/>
    <w:uiPriority w:val="99"/>
    <w:rsid w:val="00D23041"/>
    <w:rPr>
      <w:rFonts w:ascii="Times New Roman" w:hAnsi="Times New Roman"/>
      <w:sz w:val="24"/>
    </w:rPr>
  </w:style>
  <w:style w:type="paragraph" w:styleId="Footer">
    <w:name w:val="footer"/>
    <w:basedOn w:val="Normal"/>
    <w:link w:val="FooterChar"/>
    <w:uiPriority w:val="99"/>
    <w:unhideWhenUsed/>
    <w:rsid w:val="00D23041"/>
    <w:pPr>
      <w:tabs>
        <w:tab w:val="center" w:pos="4680"/>
        <w:tab w:val="right" w:pos="9360"/>
      </w:tabs>
    </w:pPr>
  </w:style>
  <w:style w:type="character" w:customStyle="1" w:styleId="FooterChar">
    <w:name w:val="Footer Char"/>
    <w:basedOn w:val="DefaultParagraphFont"/>
    <w:link w:val="Footer"/>
    <w:uiPriority w:val="99"/>
    <w:rsid w:val="00D23041"/>
    <w:rPr>
      <w:rFonts w:ascii="Times New Roman" w:hAnsi="Times New Roman"/>
      <w:sz w:val="24"/>
    </w:rPr>
  </w:style>
  <w:style w:type="paragraph" w:customStyle="1" w:styleId="MacPacTrailer">
    <w:name w:val="MacPac Trailer"/>
    <w:rsid w:val="00D23041"/>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D23041"/>
    <w:rPr>
      <w:rFonts w:ascii="Tahoma" w:hAnsi="Tahoma" w:cs="Tahoma"/>
      <w:sz w:val="16"/>
      <w:szCs w:val="16"/>
    </w:rPr>
  </w:style>
  <w:style w:type="character" w:customStyle="1" w:styleId="BalloonTextChar">
    <w:name w:val="Balloon Text Char"/>
    <w:basedOn w:val="DefaultParagraphFont"/>
    <w:link w:val="BalloonText"/>
    <w:uiPriority w:val="99"/>
    <w:semiHidden/>
    <w:rsid w:val="00D23041"/>
    <w:rPr>
      <w:rFonts w:ascii="Tahoma" w:hAnsi="Tahoma" w:cs="Tahoma"/>
      <w:sz w:val="16"/>
      <w:szCs w:val="16"/>
    </w:rPr>
  </w:style>
  <w:style w:type="character" w:styleId="PlaceholderText">
    <w:name w:val="Placeholder Text"/>
    <w:basedOn w:val="DefaultParagraphFont"/>
    <w:uiPriority w:val="99"/>
    <w:semiHidden/>
    <w:rsid w:val="00D23041"/>
    <w:rPr>
      <w:color w:val="808080"/>
    </w:rPr>
  </w:style>
  <w:style w:type="character" w:styleId="PageNumber">
    <w:name w:val="page number"/>
    <w:basedOn w:val="DefaultParagraphFont"/>
    <w:uiPriority w:val="99"/>
    <w:unhideWhenUsed/>
    <w:rsid w:val="00D23041"/>
  </w:style>
  <w:style w:type="character" w:customStyle="1" w:styleId="Heading1Char">
    <w:name w:val="Heading 1 Char"/>
    <w:basedOn w:val="DefaultParagraphFont"/>
    <w:link w:val="Heading1"/>
    <w:uiPriority w:val="9"/>
    <w:rsid w:val="00127EBC"/>
    <w:rPr>
      <w:rFonts w:ascii="Times New Roman" w:hAnsi="Times New Roman"/>
      <w:b/>
      <w:sz w:val="24"/>
      <w:u w:val="single"/>
    </w:rPr>
  </w:style>
  <w:style w:type="paragraph" w:styleId="NoSpacing">
    <w:name w:val="No Spacing"/>
    <w:uiPriority w:val="1"/>
    <w:qFormat/>
    <w:rsid w:val="007E745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5AC395B2.dotm</Template>
  <TotalTime>293</TotalTime>
  <Pages>2</Pages>
  <Words>580</Words>
  <Characters>3248</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HIPAA Authorization Checklist</vt:lpstr>
    </vt:vector>
  </TitlesOfParts>
  <Company>Gray Plant Mooty</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Authorization Checklist</dc:title>
  <dc:subject>HIPAA Authorization</dc:subject>
  <dc:creator>Reiland, Julia C.</dc:creator>
  <cp:lastModifiedBy>Schue, Lila M.</cp:lastModifiedBy>
  <cp:revision>5</cp:revision>
  <cp:lastPrinted>2017-01-24T16:45:00Z</cp:lastPrinted>
  <dcterms:created xsi:type="dcterms:W3CDTF">2017-01-10T22:15:00Z</dcterms:created>
  <dcterms:modified xsi:type="dcterms:W3CDTF">2017-02-10T21:29:00Z</dcterms:modified>
  <cp:category>Foundations in Privacy Toolkit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WS_TRACKING_ID">
    <vt:lpwstr>509070aa-b9b8-4353-94c3-358a5c2287d9</vt:lpwstr>
  </property>
</Properties>
</file>